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6E5BA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b/>
          <w:color w:val="auto"/>
          <w:sz w:val="44"/>
          <w:szCs w:val="44"/>
          <w:lang w:val="en-US" w:eastAsia="zh-CN"/>
        </w:rPr>
      </w:pPr>
    </w:p>
    <w:p w14:paraId="362B2D2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b/>
          <w:color w:val="auto"/>
          <w:sz w:val="44"/>
          <w:szCs w:val="44"/>
          <w:lang w:val="en-US" w:eastAsia="zh-CN"/>
        </w:rPr>
      </w:pPr>
    </w:p>
    <w:p w14:paraId="74EB56C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b/>
          <w:color w:val="auto"/>
          <w:sz w:val="44"/>
          <w:szCs w:val="44"/>
        </w:rPr>
      </w:pPr>
    </w:p>
    <w:p w14:paraId="0BE29BF8">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b/>
          <w:color w:val="auto"/>
          <w:sz w:val="48"/>
          <w:szCs w:val="48"/>
        </w:rPr>
      </w:pPr>
      <w:r>
        <w:rPr>
          <w:rFonts w:hint="eastAsia"/>
          <w:b/>
          <w:color w:val="auto"/>
          <w:sz w:val="48"/>
          <w:szCs w:val="48"/>
        </w:rPr>
        <w:t>江西省坤育矿业有限公司</w:t>
      </w:r>
    </w:p>
    <w:p w14:paraId="0754CB86">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b/>
          <w:color w:val="auto"/>
          <w:sz w:val="48"/>
          <w:szCs w:val="48"/>
        </w:rPr>
      </w:pPr>
      <w:r>
        <w:rPr>
          <w:rFonts w:hint="default" w:ascii="Times New Roman" w:hAnsi="Times New Roman" w:cs="Times New Roman"/>
          <w:b/>
          <w:color w:val="auto"/>
          <w:sz w:val="48"/>
          <w:szCs w:val="48"/>
        </w:rPr>
        <w:t>德安县聂桥镇刘家山矿区建筑用辉绿岩矿</w:t>
      </w:r>
    </w:p>
    <w:p w14:paraId="2387D4B6">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b/>
          <w:color w:val="auto"/>
          <w:sz w:val="48"/>
          <w:szCs w:val="48"/>
        </w:rPr>
      </w:pPr>
      <w:r>
        <w:rPr>
          <w:rFonts w:hint="default"/>
          <w:b/>
          <w:color w:val="auto"/>
          <w:sz w:val="48"/>
          <w:szCs w:val="48"/>
        </w:rPr>
        <w:t>露天开采工程</w:t>
      </w:r>
    </w:p>
    <w:p w14:paraId="652EABA4">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eastAsia="黑体"/>
          <w:b/>
          <w:color w:val="auto"/>
          <w:sz w:val="52"/>
          <w:szCs w:val="52"/>
        </w:rPr>
      </w:pPr>
      <w:r>
        <w:rPr>
          <w:rFonts w:hint="eastAsia" w:eastAsia="黑体"/>
          <w:b/>
          <w:color w:val="auto"/>
          <w:sz w:val="52"/>
          <w:szCs w:val="52"/>
        </w:rPr>
        <w:t>安全现状评价报告</w:t>
      </w:r>
    </w:p>
    <w:p w14:paraId="579F55CB">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eastAsia="黑体"/>
          <w:b/>
          <w:color w:val="auto"/>
          <w:sz w:val="44"/>
          <w:szCs w:val="44"/>
        </w:rPr>
      </w:pPr>
      <w:r>
        <w:rPr>
          <w:rFonts w:hint="eastAsia" w:eastAsia="黑体"/>
          <w:b/>
          <w:color w:val="auto"/>
          <w:sz w:val="44"/>
          <w:szCs w:val="44"/>
        </w:rPr>
        <w:t>（</w:t>
      </w:r>
      <w:r>
        <w:rPr>
          <w:rFonts w:hint="eastAsia" w:eastAsia="黑体"/>
          <w:b/>
          <w:color w:val="auto"/>
          <w:sz w:val="44"/>
          <w:szCs w:val="44"/>
          <w:lang w:val="en-US" w:eastAsia="zh-CN"/>
        </w:rPr>
        <w:t>终稿</w:t>
      </w:r>
      <w:r>
        <w:rPr>
          <w:rFonts w:hint="eastAsia" w:eastAsia="黑体"/>
          <w:b/>
          <w:color w:val="auto"/>
          <w:sz w:val="44"/>
          <w:szCs w:val="44"/>
        </w:rPr>
        <w:t>）</w:t>
      </w:r>
    </w:p>
    <w:p w14:paraId="2761FE67">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eastAsia="黑体"/>
          <w:b/>
          <w:color w:val="auto"/>
          <w:sz w:val="52"/>
          <w:szCs w:val="52"/>
        </w:rPr>
      </w:pPr>
    </w:p>
    <w:p w14:paraId="2A0EF81F">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eastAsia="黑体"/>
          <w:b/>
          <w:color w:val="auto"/>
          <w:sz w:val="52"/>
          <w:szCs w:val="52"/>
        </w:rPr>
      </w:pPr>
    </w:p>
    <w:p w14:paraId="1B48CE11">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eastAsia="黑体"/>
          <w:b/>
          <w:color w:val="auto"/>
          <w:sz w:val="52"/>
          <w:szCs w:val="52"/>
        </w:rPr>
      </w:pPr>
    </w:p>
    <w:p w14:paraId="64239F74">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eastAsia="黑体"/>
          <w:b/>
          <w:color w:val="auto"/>
          <w:sz w:val="52"/>
          <w:szCs w:val="52"/>
        </w:rPr>
      </w:pPr>
    </w:p>
    <w:p w14:paraId="539E5479">
      <w:pPr>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b/>
          <w:bCs/>
          <w:color w:val="auto"/>
          <w:sz w:val="44"/>
        </w:rPr>
      </w:pPr>
    </w:p>
    <w:p w14:paraId="393A3A8F">
      <w:pPr>
        <w:pStyle w:val="23"/>
        <w:rPr>
          <w:rFonts w:hint="eastAsia"/>
          <w:color w:val="auto"/>
        </w:rPr>
      </w:pPr>
    </w:p>
    <w:p w14:paraId="0F2AADD7">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b/>
          <w:bCs/>
          <w:color w:val="auto"/>
          <w:sz w:val="44"/>
        </w:rPr>
      </w:pPr>
      <w:r>
        <w:rPr>
          <w:b/>
          <w:bCs/>
          <w:color w:val="auto"/>
          <w:sz w:val="44"/>
        </w:rPr>
        <w:t>江西赣安安全生产科学技术咨询服务中心</w:t>
      </w:r>
    </w:p>
    <w:p w14:paraId="0DEE1DAC">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b/>
          <w:bCs/>
          <w:color w:val="auto"/>
          <w:sz w:val="32"/>
        </w:rPr>
      </w:pPr>
      <w:r>
        <w:rPr>
          <w:rFonts w:hint="eastAsia"/>
          <w:b/>
          <w:bCs/>
          <w:color w:val="auto"/>
          <w:sz w:val="32"/>
        </w:rPr>
        <w:t>资质证书编号：</w:t>
      </w:r>
      <w:r>
        <w:rPr>
          <w:b/>
          <w:bCs/>
          <w:color w:val="auto"/>
          <w:sz w:val="32"/>
        </w:rPr>
        <w:t>APJ</w:t>
      </w:r>
      <w:r>
        <w:rPr>
          <w:rFonts w:hint="eastAsia"/>
          <w:b/>
          <w:bCs/>
          <w:color w:val="auto"/>
          <w:sz w:val="32"/>
        </w:rPr>
        <w:t>-（赣）-002</w:t>
      </w:r>
    </w:p>
    <w:p w14:paraId="0A5A6D96">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b/>
          <w:bCs/>
          <w:color w:val="auto"/>
          <w:sz w:val="32"/>
        </w:rPr>
      </w:pPr>
      <w:r>
        <w:rPr>
          <w:rFonts w:hint="eastAsia" w:hAnsi="宋体"/>
          <w:b/>
          <w:bCs/>
          <w:color w:val="auto"/>
          <w:sz w:val="32"/>
        </w:rPr>
        <w:t>202</w:t>
      </w:r>
      <w:r>
        <w:rPr>
          <w:rFonts w:hint="eastAsia" w:hAnsi="宋体"/>
          <w:b/>
          <w:bCs/>
          <w:color w:val="auto"/>
          <w:sz w:val="32"/>
          <w:lang w:val="en-US" w:eastAsia="zh-CN"/>
        </w:rPr>
        <w:t>5</w:t>
      </w:r>
      <w:r>
        <w:rPr>
          <w:rFonts w:hAnsi="宋体"/>
          <w:b/>
          <w:bCs/>
          <w:color w:val="auto"/>
          <w:sz w:val="32"/>
        </w:rPr>
        <w:t>年</w:t>
      </w:r>
      <w:r>
        <w:rPr>
          <w:rFonts w:hint="eastAsia" w:hAnsi="宋体"/>
          <w:b/>
          <w:bCs/>
          <w:color w:val="auto"/>
          <w:sz w:val="32"/>
          <w:lang w:val="en-US" w:eastAsia="zh-CN"/>
        </w:rPr>
        <w:t>8</w:t>
      </w:r>
      <w:r>
        <w:rPr>
          <w:rFonts w:hAnsi="宋体"/>
          <w:b/>
          <w:bCs/>
          <w:color w:val="auto"/>
          <w:sz w:val="32"/>
        </w:rPr>
        <w:t>月</w:t>
      </w:r>
      <w:r>
        <w:rPr>
          <w:rFonts w:hint="eastAsia" w:hAnsi="宋体"/>
          <w:b/>
          <w:bCs/>
          <w:color w:val="auto"/>
          <w:sz w:val="32"/>
          <w:lang w:val="en-US" w:eastAsia="zh-CN"/>
        </w:rPr>
        <w:t>18</w:t>
      </w:r>
      <w:r>
        <w:rPr>
          <w:rFonts w:hint="eastAsia" w:hAnsi="宋体"/>
          <w:b/>
          <w:bCs/>
          <w:color w:val="auto"/>
          <w:sz w:val="32"/>
        </w:rPr>
        <w:t>日</w:t>
      </w:r>
    </w:p>
    <w:p w14:paraId="30952803">
      <w:pPr>
        <w:spacing w:line="600" w:lineRule="exact"/>
        <w:jc w:val="center"/>
        <w:rPr>
          <w:b/>
          <w:color w:val="auto"/>
          <w:sz w:val="32"/>
          <w:szCs w:val="32"/>
        </w:rPr>
        <w:sectPr>
          <w:pgSz w:w="11906" w:h="16839"/>
          <w:pgMar w:top="1417" w:right="1417" w:bottom="1417" w:left="1417" w:header="850" w:footer="964" w:gutter="0"/>
          <w:cols w:space="425" w:num="1"/>
          <w:rtlGutter w:val="0"/>
          <w:docGrid w:linePitch="312" w:charSpace="0"/>
        </w:sectPr>
      </w:pPr>
    </w:p>
    <w:p w14:paraId="4A0F7EDA">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b/>
          <w:color w:val="auto"/>
          <w:sz w:val="32"/>
          <w:szCs w:val="32"/>
        </w:rPr>
      </w:pPr>
    </w:p>
    <w:p w14:paraId="439B32A8">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b/>
          <w:color w:val="auto"/>
          <w:sz w:val="32"/>
          <w:szCs w:val="32"/>
        </w:rPr>
      </w:pPr>
    </w:p>
    <w:p w14:paraId="4606063F">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b/>
          <w:color w:val="auto"/>
          <w:sz w:val="32"/>
          <w:szCs w:val="32"/>
        </w:rPr>
      </w:pPr>
    </w:p>
    <w:p w14:paraId="080E17BD">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b/>
          <w:color w:val="auto"/>
          <w:sz w:val="36"/>
          <w:szCs w:val="36"/>
        </w:rPr>
      </w:pPr>
      <w:r>
        <w:rPr>
          <w:rFonts w:hint="eastAsia"/>
          <w:b/>
          <w:color w:val="auto"/>
          <w:sz w:val="36"/>
          <w:szCs w:val="36"/>
        </w:rPr>
        <w:t>江西省坤育矿业有限公司</w:t>
      </w:r>
    </w:p>
    <w:p w14:paraId="60676C28">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b/>
          <w:color w:val="auto"/>
          <w:sz w:val="36"/>
          <w:szCs w:val="36"/>
        </w:rPr>
      </w:pPr>
      <w:r>
        <w:rPr>
          <w:rFonts w:hint="eastAsia"/>
          <w:b/>
          <w:color w:val="auto"/>
          <w:sz w:val="36"/>
          <w:szCs w:val="36"/>
        </w:rPr>
        <w:t>德安县聂桥镇刘家山矿区建筑用辉绿岩矿</w:t>
      </w:r>
    </w:p>
    <w:p w14:paraId="481985DD">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b/>
          <w:color w:val="auto"/>
          <w:sz w:val="36"/>
          <w:szCs w:val="36"/>
        </w:rPr>
      </w:pPr>
      <w:r>
        <w:rPr>
          <w:rFonts w:hint="eastAsia"/>
          <w:b/>
          <w:color w:val="auto"/>
          <w:sz w:val="36"/>
          <w:szCs w:val="36"/>
        </w:rPr>
        <w:t>露天开采工程</w:t>
      </w:r>
    </w:p>
    <w:p w14:paraId="333D3DB2">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b/>
          <w:color w:val="auto"/>
          <w:sz w:val="44"/>
          <w:szCs w:val="44"/>
        </w:rPr>
      </w:pPr>
      <w:r>
        <w:rPr>
          <w:rFonts w:hint="eastAsia"/>
          <w:b/>
          <w:color w:val="auto"/>
          <w:sz w:val="44"/>
          <w:szCs w:val="44"/>
        </w:rPr>
        <w:t>安全现状评价报告</w:t>
      </w:r>
    </w:p>
    <w:p w14:paraId="68670D10">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黑体"/>
          <w:b/>
          <w:color w:val="auto"/>
          <w:sz w:val="44"/>
          <w:szCs w:val="44"/>
        </w:rPr>
      </w:pPr>
      <w:r>
        <w:rPr>
          <w:rFonts w:hint="eastAsia" w:eastAsia="黑体"/>
          <w:b/>
          <w:color w:val="auto"/>
          <w:sz w:val="44"/>
          <w:szCs w:val="44"/>
        </w:rPr>
        <w:t>（</w:t>
      </w:r>
      <w:r>
        <w:rPr>
          <w:rFonts w:hint="eastAsia" w:eastAsia="黑体"/>
          <w:b/>
          <w:color w:val="auto"/>
          <w:sz w:val="44"/>
          <w:szCs w:val="44"/>
          <w:lang w:val="en-US" w:eastAsia="zh-CN"/>
        </w:rPr>
        <w:t>终稿</w:t>
      </w:r>
      <w:r>
        <w:rPr>
          <w:rFonts w:hint="eastAsia" w:eastAsia="黑体"/>
          <w:b/>
          <w:color w:val="auto"/>
          <w:sz w:val="44"/>
          <w:szCs w:val="44"/>
        </w:rPr>
        <w:t>）</w:t>
      </w:r>
    </w:p>
    <w:p w14:paraId="44B869D4">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eastAsia="黑体"/>
          <w:b/>
          <w:color w:val="auto"/>
          <w:sz w:val="44"/>
          <w:szCs w:val="44"/>
        </w:rPr>
      </w:pPr>
    </w:p>
    <w:p w14:paraId="6770B870">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eastAsia="黑体"/>
          <w:b/>
          <w:color w:val="auto"/>
          <w:sz w:val="44"/>
          <w:szCs w:val="44"/>
        </w:rPr>
      </w:pPr>
    </w:p>
    <w:p w14:paraId="06417EA2">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黑体"/>
          <w:b/>
          <w:color w:val="auto"/>
          <w:sz w:val="44"/>
          <w:szCs w:val="44"/>
        </w:rPr>
      </w:pPr>
    </w:p>
    <w:p w14:paraId="2F711814">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黑体"/>
          <w:b/>
          <w:color w:val="auto"/>
          <w:sz w:val="44"/>
          <w:szCs w:val="44"/>
        </w:rPr>
      </w:pPr>
    </w:p>
    <w:p w14:paraId="13B9EDFE">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宋体"/>
          <w:color w:val="auto"/>
          <w:lang w:eastAsia="zh-CN"/>
        </w:rPr>
      </w:pPr>
      <w:r>
        <w:rPr>
          <w:color w:val="auto"/>
        </w:rPr>
        <w:t>法</w:t>
      </w:r>
      <w:r>
        <w:rPr>
          <w:rFonts w:hint="eastAsia"/>
          <w:color w:val="auto"/>
        </w:rPr>
        <w:t xml:space="preserve"> 定 </w:t>
      </w:r>
      <w:r>
        <w:rPr>
          <w:color w:val="auto"/>
        </w:rPr>
        <w:t>代</w:t>
      </w:r>
      <w:r>
        <w:rPr>
          <w:rFonts w:hint="eastAsia"/>
          <w:color w:val="auto"/>
        </w:rPr>
        <w:t xml:space="preserve"> </w:t>
      </w:r>
      <w:r>
        <w:rPr>
          <w:color w:val="auto"/>
        </w:rPr>
        <w:t>表</w:t>
      </w:r>
      <w:r>
        <w:rPr>
          <w:rFonts w:hint="eastAsia"/>
          <w:color w:val="auto"/>
        </w:rPr>
        <w:t xml:space="preserve"> </w:t>
      </w:r>
      <w:r>
        <w:rPr>
          <w:color w:val="auto"/>
        </w:rPr>
        <w:t>人：</w:t>
      </w:r>
      <w:r>
        <w:rPr>
          <w:rFonts w:hint="eastAsia"/>
          <w:color w:val="auto"/>
          <w:lang w:val="en-US" w:eastAsia="zh-CN"/>
        </w:rPr>
        <w:t>应  宏</w:t>
      </w:r>
    </w:p>
    <w:p w14:paraId="35FF3EE0">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rPr>
      </w:pPr>
      <w:r>
        <w:rPr>
          <w:color w:val="auto"/>
        </w:rPr>
        <w:t>技</w:t>
      </w:r>
      <w:r>
        <w:rPr>
          <w:rFonts w:hint="eastAsia"/>
          <w:color w:val="auto"/>
        </w:rPr>
        <w:t xml:space="preserve"> </w:t>
      </w:r>
      <w:r>
        <w:rPr>
          <w:color w:val="auto"/>
        </w:rPr>
        <w:t>术</w:t>
      </w:r>
      <w:r>
        <w:rPr>
          <w:rFonts w:hint="eastAsia"/>
          <w:color w:val="auto"/>
        </w:rPr>
        <w:t xml:space="preserve"> </w:t>
      </w:r>
      <w:r>
        <w:rPr>
          <w:color w:val="auto"/>
        </w:rPr>
        <w:t>负</w:t>
      </w:r>
      <w:r>
        <w:rPr>
          <w:rFonts w:hint="eastAsia"/>
          <w:color w:val="auto"/>
        </w:rPr>
        <w:t xml:space="preserve"> </w:t>
      </w:r>
      <w:r>
        <w:rPr>
          <w:color w:val="auto"/>
        </w:rPr>
        <w:t>责</w:t>
      </w:r>
      <w:r>
        <w:rPr>
          <w:rFonts w:hint="eastAsia"/>
          <w:color w:val="auto"/>
        </w:rPr>
        <w:t xml:space="preserve"> </w:t>
      </w:r>
      <w:r>
        <w:rPr>
          <w:color w:val="auto"/>
        </w:rPr>
        <w:t>人：</w:t>
      </w:r>
      <w:r>
        <w:rPr>
          <w:rFonts w:hint="eastAsia"/>
          <w:color w:val="auto"/>
        </w:rPr>
        <w:t>管自强</w:t>
      </w:r>
    </w:p>
    <w:p w14:paraId="70F18205">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宋体"/>
          <w:color w:val="auto"/>
          <w:lang w:eastAsia="zh-CN"/>
        </w:rPr>
      </w:pPr>
      <w:r>
        <w:rPr>
          <w:color w:val="auto"/>
        </w:rPr>
        <w:t>评价项目负责人：</w:t>
      </w:r>
      <w:r>
        <w:rPr>
          <w:rFonts w:hint="eastAsia"/>
          <w:color w:val="auto"/>
          <w:lang w:val="en-US" w:eastAsia="zh-CN"/>
        </w:rPr>
        <w:t>许玉才</w:t>
      </w:r>
    </w:p>
    <w:p w14:paraId="3C6E82BC">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rPr>
      </w:pPr>
    </w:p>
    <w:p w14:paraId="6BD303A7">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rPr>
      </w:pPr>
    </w:p>
    <w:p w14:paraId="014634B3">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rPr>
      </w:pPr>
    </w:p>
    <w:p w14:paraId="7A9A5EF4">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rPr>
      </w:pPr>
    </w:p>
    <w:p w14:paraId="48C6B79A">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auto"/>
        </w:rPr>
      </w:pPr>
      <w:r>
        <w:rPr>
          <w:b/>
          <w:bCs/>
          <w:color w:val="auto"/>
          <w:sz w:val="24"/>
        </w:rPr>
        <w:t>评价报告完成日期：</w:t>
      </w:r>
      <w:r>
        <w:rPr>
          <w:rFonts w:hint="eastAsia" w:hAnsi="宋体"/>
          <w:b/>
          <w:bCs/>
          <w:color w:val="auto"/>
          <w:spacing w:val="20"/>
          <w:sz w:val="24"/>
        </w:rPr>
        <w:t>2025年</w:t>
      </w:r>
      <w:r>
        <w:rPr>
          <w:rFonts w:hint="eastAsia" w:hAnsi="宋体"/>
          <w:b/>
          <w:bCs/>
          <w:color w:val="auto"/>
          <w:spacing w:val="20"/>
          <w:sz w:val="24"/>
          <w:lang w:val="en-US" w:eastAsia="zh-CN"/>
        </w:rPr>
        <w:t>8</w:t>
      </w:r>
      <w:r>
        <w:rPr>
          <w:rFonts w:hint="eastAsia" w:hAnsi="宋体"/>
          <w:b/>
          <w:bCs/>
          <w:color w:val="auto"/>
          <w:spacing w:val="20"/>
          <w:sz w:val="24"/>
        </w:rPr>
        <w:t>月</w:t>
      </w:r>
      <w:r>
        <w:rPr>
          <w:rFonts w:hint="eastAsia" w:hAnsi="宋体"/>
          <w:b/>
          <w:bCs/>
          <w:color w:val="auto"/>
          <w:spacing w:val="20"/>
          <w:sz w:val="24"/>
          <w:lang w:val="en-US" w:eastAsia="zh-CN"/>
        </w:rPr>
        <w:t>18</w:t>
      </w:r>
      <w:r>
        <w:rPr>
          <w:rFonts w:hint="eastAsia" w:hAnsi="宋体"/>
          <w:b/>
          <w:bCs/>
          <w:color w:val="auto"/>
          <w:spacing w:val="20"/>
          <w:sz w:val="24"/>
        </w:rPr>
        <w:t>日</w:t>
      </w:r>
    </w:p>
    <w:p w14:paraId="6CB34F2E">
      <w:pPr>
        <w:spacing w:line="600" w:lineRule="exact"/>
        <w:jc w:val="center"/>
        <w:rPr>
          <w:b/>
          <w:color w:val="auto"/>
          <w:sz w:val="32"/>
          <w:szCs w:val="32"/>
        </w:rPr>
      </w:pPr>
      <w:r>
        <w:rPr>
          <w:b/>
          <w:color w:val="auto"/>
          <w:sz w:val="32"/>
          <w:szCs w:val="32"/>
        </w:rPr>
        <w:br w:type="page"/>
      </w:r>
    </w:p>
    <w:p w14:paraId="48C4E444">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color w:val="auto"/>
          <w:sz w:val="36"/>
          <w:szCs w:val="36"/>
        </w:rPr>
      </w:pPr>
      <w:r>
        <w:rPr>
          <w:rFonts w:hint="eastAsia" w:ascii="宋体" w:hAnsi="宋体"/>
          <w:color w:val="auto"/>
          <w:sz w:val="36"/>
          <w:szCs w:val="36"/>
        </w:rPr>
        <w:t>江西省坤育矿业有限公司</w:t>
      </w:r>
    </w:p>
    <w:p w14:paraId="043E6293">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color w:val="auto"/>
          <w:sz w:val="36"/>
          <w:szCs w:val="36"/>
        </w:rPr>
      </w:pPr>
      <w:r>
        <w:rPr>
          <w:rFonts w:hint="eastAsia" w:ascii="宋体" w:hAnsi="宋体"/>
          <w:color w:val="auto"/>
          <w:sz w:val="36"/>
          <w:szCs w:val="36"/>
        </w:rPr>
        <w:t>德安县聂桥镇刘家山矿区建筑用辉绿岩矿</w:t>
      </w:r>
    </w:p>
    <w:p w14:paraId="5F02A7A2">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color w:val="auto"/>
          <w:sz w:val="36"/>
          <w:szCs w:val="36"/>
        </w:rPr>
      </w:pPr>
      <w:r>
        <w:rPr>
          <w:rFonts w:hint="eastAsia" w:ascii="宋体" w:hAnsi="宋体"/>
          <w:color w:val="auto"/>
          <w:sz w:val="36"/>
          <w:szCs w:val="36"/>
        </w:rPr>
        <w:t>露天开采工程</w:t>
      </w:r>
    </w:p>
    <w:p w14:paraId="00A25C37">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cs="宋体"/>
          <w:color w:val="auto"/>
          <w:kern w:val="0"/>
          <w:sz w:val="36"/>
          <w:szCs w:val="36"/>
        </w:rPr>
      </w:pPr>
      <w:r>
        <w:rPr>
          <w:rFonts w:hint="eastAsia" w:ascii="宋体" w:hAnsi="宋体" w:cs="宋体"/>
          <w:color w:val="auto"/>
          <w:kern w:val="0"/>
          <w:sz w:val="36"/>
          <w:szCs w:val="36"/>
        </w:rPr>
        <w:t>安全现状</w:t>
      </w:r>
      <w:r>
        <w:rPr>
          <w:rFonts w:ascii="宋体" w:hAnsi="宋体" w:cs="宋体"/>
          <w:color w:val="auto"/>
          <w:kern w:val="0"/>
          <w:sz w:val="36"/>
          <w:szCs w:val="36"/>
        </w:rPr>
        <w:t>评价</w:t>
      </w:r>
      <w:r>
        <w:rPr>
          <w:rFonts w:hint="eastAsia" w:ascii="宋体" w:hAnsi="宋体" w:cs="宋体"/>
          <w:color w:val="auto"/>
          <w:kern w:val="0"/>
          <w:sz w:val="36"/>
          <w:szCs w:val="36"/>
        </w:rPr>
        <w:t>技术服务</w:t>
      </w:r>
      <w:r>
        <w:rPr>
          <w:rFonts w:ascii="宋体" w:hAnsi="宋体" w:cs="宋体"/>
          <w:color w:val="auto"/>
          <w:kern w:val="0"/>
          <w:sz w:val="36"/>
          <w:szCs w:val="36"/>
        </w:rPr>
        <w:t>承诺书</w:t>
      </w:r>
    </w:p>
    <w:p w14:paraId="6A0E05A7">
      <w:pPr>
        <w:keepNext w:val="0"/>
        <w:keepLines w:val="0"/>
        <w:pageBreakBefore w:val="0"/>
        <w:widowControl/>
        <w:kinsoku/>
        <w:wordWrap/>
        <w:overflowPunct/>
        <w:topLinePunct w:val="0"/>
        <w:autoSpaceDE/>
        <w:autoSpaceDN/>
        <w:bidi w:val="0"/>
        <w:adjustRightInd/>
        <w:snapToGrid/>
        <w:spacing w:line="480" w:lineRule="auto"/>
        <w:ind w:firstLine="640" w:firstLineChars="200"/>
        <w:textAlignment w:val="auto"/>
        <w:rPr>
          <w:rFonts w:hint="eastAsia" w:ascii="仿宋" w:hAnsi="仿宋" w:eastAsia="仿宋" w:cs="宋体"/>
          <w:color w:val="auto"/>
          <w:kern w:val="0"/>
          <w:sz w:val="32"/>
          <w:szCs w:val="32"/>
        </w:rPr>
      </w:pPr>
      <w:r>
        <w:rPr>
          <w:rFonts w:hint="eastAsia" w:ascii="仿宋" w:hAnsi="仿宋" w:eastAsia="仿宋" w:cs="宋体"/>
          <w:color w:val="auto"/>
          <w:kern w:val="0"/>
          <w:sz w:val="32"/>
          <w:szCs w:val="32"/>
        </w:rPr>
        <w:t>一、在本项目安全评价活动过程中，我单位严格遵守《安全生产法》及相关法律、法规和标准的要求。</w:t>
      </w:r>
    </w:p>
    <w:p w14:paraId="522E8E4A">
      <w:pPr>
        <w:keepNext w:val="0"/>
        <w:keepLines w:val="0"/>
        <w:pageBreakBefore w:val="0"/>
        <w:widowControl/>
        <w:kinsoku/>
        <w:wordWrap/>
        <w:overflowPunct/>
        <w:topLinePunct w:val="0"/>
        <w:autoSpaceDE/>
        <w:autoSpaceDN/>
        <w:bidi w:val="0"/>
        <w:adjustRightInd/>
        <w:snapToGrid/>
        <w:spacing w:line="480" w:lineRule="auto"/>
        <w:ind w:firstLine="640" w:firstLineChars="200"/>
        <w:textAlignment w:val="auto"/>
        <w:rPr>
          <w:rFonts w:hint="eastAsia" w:ascii="宋体" w:hAnsi="宋体" w:cs="宋体"/>
          <w:color w:val="auto"/>
          <w:kern w:val="0"/>
          <w:sz w:val="36"/>
          <w:szCs w:val="36"/>
        </w:rPr>
      </w:pPr>
      <w:r>
        <w:rPr>
          <w:rFonts w:hint="eastAsia" w:ascii="仿宋" w:hAnsi="仿宋" w:eastAsia="仿宋" w:cs="宋体"/>
          <w:color w:val="auto"/>
          <w:kern w:val="0"/>
          <w:sz w:val="32"/>
          <w:szCs w:val="32"/>
        </w:rPr>
        <w:t>二、在本项目安全评价活动过程中，我单位作为第三方，未受到任何组织和个人的干预和影响，依法独立开展工作，保证了技术服务活动的客观公正性。</w:t>
      </w:r>
    </w:p>
    <w:p w14:paraId="338974C1">
      <w:pPr>
        <w:keepNext w:val="0"/>
        <w:keepLines w:val="0"/>
        <w:pageBreakBefore w:val="0"/>
        <w:widowControl/>
        <w:kinsoku/>
        <w:wordWrap/>
        <w:overflowPunct/>
        <w:topLinePunct w:val="0"/>
        <w:autoSpaceDE/>
        <w:autoSpaceDN/>
        <w:bidi w:val="0"/>
        <w:adjustRightInd/>
        <w:snapToGrid/>
        <w:spacing w:line="480" w:lineRule="auto"/>
        <w:ind w:firstLine="640" w:firstLineChars="200"/>
        <w:jc w:val="left"/>
        <w:textAlignment w:val="auto"/>
        <w:rPr>
          <w:rFonts w:hint="eastAsia" w:ascii="仿宋" w:hAnsi="仿宋" w:eastAsia="仿宋" w:cs="宋体"/>
          <w:color w:val="auto"/>
          <w:kern w:val="0"/>
          <w:sz w:val="32"/>
          <w:szCs w:val="32"/>
        </w:rPr>
      </w:pPr>
      <w:r>
        <w:rPr>
          <w:rFonts w:hint="eastAsia" w:ascii="仿宋" w:hAnsi="仿宋" w:eastAsia="仿宋" w:cs="宋体"/>
          <w:color w:val="auto"/>
          <w:kern w:val="0"/>
          <w:sz w:val="32"/>
          <w:szCs w:val="32"/>
        </w:rPr>
        <w:t>三、我单位按照实事求是的原则，对本项目进行安全评价，确保出具的报告均真实有效，报告所提出的措施具有针对性、有效性和可行性。</w:t>
      </w:r>
    </w:p>
    <w:p w14:paraId="301E2149">
      <w:pPr>
        <w:keepNext w:val="0"/>
        <w:keepLines w:val="0"/>
        <w:pageBreakBefore w:val="0"/>
        <w:widowControl/>
        <w:kinsoku/>
        <w:wordWrap/>
        <w:overflowPunct/>
        <w:topLinePunct w:val="0"/>
        <w:autoSpaceDE/>
        <w:autoSpaceDN/>
        <w:bidi w:val="0"/>
        <w:adjustRightInd/>
        <w:snapToGrid/>
        <w:spacing w:line="480" w:lineRule="auto"/>
        <w:ind w:firstLine="640" w:firstLineChars="200"/>
        <w:jc w:val="left"/>
        <w:textAlignment w:val="auto"/>
        <w:rPr>
          <w:rFonts w:hint="eastAsia" w:ascii="仿宋" w:hAnsi="仿宋" w:eastAsia="仿宋" w:cs="宋体"/>
          <w:color w:val="auto"/>
          <w:kern w:val="0"/>
          <w:sz w:val="32"/>
          <w:szCs w:val="32"/>
        </w:rPr>
      </w:pPr>
      <w:r>
        <w:rPr>
          <w:rFonts w:hint="eastAsia" w:ascii="仿宋" w:hAnsi="仿宋" w:eastAsia="仿宋" w:cs="宋体"/>
          <w:color w:val="auto"/>
          <w:kern w:val="0"/>
          <w:sz w:val="32"/>
          <w:szCs w:val="32"/>
        </w:rPr>
        <w:t>四、我单位对本项目安全评价报告中结论性内容承担法律责任。</w:t>
      </w:r>
    </w:p>
    <w:p w14:paraId="248DBA77">
      <w:pPr>
        <w:keepNext w:val="0"/>
        <w:keepLines w:val="0"/>
        <w:pageBreakBefore w:val="0"/>
        <w:widowControl/>
        <w:kinsoku/>
        <w:wordWrap/>
        <w:overflowPunct/>
        <w:topLinePunct w:val="0"/>
        <w:autoSpaceDE/>
        <w:autoSpaceDN/>
        <w:bidi w:val="0"/>
        <w:adjustRightInd/>
        <w:snapToGrid/>
        <w:spacing w:beforeAutospacing="0" w:afterAutospacing="0" w:line="400" w:lineRule="exact"/>
        <w:ind w:left="4620" w:leftChars="0" w:hanging="4620" w:hangingChars="1650"/>
        <w:jc w:val="right"/>
        <w:textAlignment w:val="auto"/>
        <w:rPr>
          <w:rFonts w:hint="eastAsia" w:hAnsi="宋体"/>
          <w:color w:val="auto"/>
          <w:szCs w:val="28"/>
        </w:rPr>
      </w:pPr>
    </w:p>
    <w:p w14:paraId="2C8AD663">
      <w:pPr>
        <w:keepNext w:val="0"/>
        <w:keepLines w:val="0"/>
        <w:pageBreakBefore w:val="0"/>
        <w:widowControl/>
        <w:kinsoku/>
        <w:wordWrap/>
        <w:overflowPunct/>
        <w:topLinePunct w:val="0"/>
        <w:autoSpaceDE/>
        <w:autoSpaceDN/>
        <w:bidi w:val="0"/>
        <w:adjustRightInd/>
        <w:snapToGrid/>
        <w:spacing w:before="100" w:beforeAutospacing="1" w:after="100" w:afterAutospacing="1" w:line="400" w:lineRule="exact"/>
        <w:ind w:left="5258" w:leftChars="228" w:hanging="4620" w:hangingChars="1650"/>
        <w:jc w:val="right"/>
        <w:textAlignment w:val="auto"/>
        <w:rPr>
          <w:color w:val="auto"/>
          <w:kern w:val="0"/>
          <w:szCs w:val="28"/>
        </w:rPr>
      </w:pPr>
      <w:r>
        <w:rPr>
          <w:color w:val="auto"/>
          <w:szCs w:val="28"/>
        </w:rPr>
        <w:t>江西赣安安全生产科学技术咨询服务中心</w:t>
      </w:r>
    </w:p>
    <w:p w14:paraId="6FF5D5F5">
      <w:pPr>
        <w:keepNext w:val="0"/>
        <w:keepLines w:val="0"/>
        <w:pageBreakBefore w:val="0"/>
        <w:widowControl/>
        <w:kinsoku/>
        <w:wordWrap/>
        <w:overflowPunct/>
        <w:topLinePunct w:val="0"/>
        <w:autoSpaceDE/>
        <w:autoSpaceDN/>
        <w:bidi w:val="0"/>
        <w:adjustRightInd/>
        <w:snapToGrid/>
        <w:spacing w:beforeAutospacing="0" w:afterAutospacing="0" w:line="400" w:lineRule="exact"/>
        <w:ind w:firstLine="0" w:firstLineChars="0"/>
        <w:jc w:val="center"/>
        <w:textAlignment w:val="auto"/>
        <w:rPr>
          <w:b/>
          <w:color w:val="auto"/>
          <w:szCs w:val="28"/>
        </w:rPr>
      </w:pPr>
      <w:r>
        <w:rPr>
          <w:rFonts w:hint="eastAsia"/>
          <w:color w:val="auto"/>
          <w:kern w:val="0"/>
          <w:szCs w:val="28"/>
          <w:lang w:val="en-US" w:eastAsia="zh-CN"/>
        </w:rPr>
        <w:t xml:space="preserve">                              </w:t>
      </w:r>
      <w:r>
        <w:rPr>
          <w:rFonts w:hint="eastAsia"/>
          <w:color w:val="auto"/>
          <w:kern w:val="0"/>
          <w:szCs w:val="28"/>
        </w:rPr>
        <w:t>2025年</w:t>
      </w:r>
      <w:r>
        <w:rPr>
          <w:rFonts w:hint="eastAsia"/>
          <w:color w:val="auto"/>
          <w:kern w:val="0"/>
          <w:szCs w:val="28"/>
          <w:lang w:val="en-US" w:eastAsia="zh-CN"/>
        </w:rPr>
        <w:t>8</w:t>
      </w:r>
      <w:r>
        <w:rPr>
          <w:rFonts w:hint="eastAsia"/>
          <w:color w:val="auto"/>
          <w:kern w:val="0"/>
          <w:szCs w:val="28"/>
        </w:rPr>
        <w:t>月</w:t>
      </w:r>
      <w:r>
        <w:rPr>
          <w:rFonts w:hint="eastAsia"/>
          <w:color w:val="auto"/>
          <w:kern w:val="0"/>
          <w:szCs w:val="28"/>
          <w:lang w:val="en-US" w:eastAsia="zh-CN"/>
        </w:rPr>
        <w:t>18</w:t>
      </w:r>
      <w:r>
        <w:rPr>
          <w:rFonts w:hint="eastAsia"/>
          <w:color w:val="auto"/>
          <w:kern w:val="0"/>
          <w:szCs w:val="28"/>
        </w:rPr>
        <w:t>日</w:t>
      </w:r>
      <w:r>
        <w:rPr>
          <w:b/>
          <w:color w:val="auto"/>
          <w:szCs w:val="28"/>
        </w:rPr>
        <w:br w:type="page"/>
      </w:r>
    </w:p>
    <w:p w14:paraId="17492A56">
      <w:pPr>
        <w:keepNext w:val="0"/>
        <w:keepLines w:val="0"/>
        <w:pageBreakBefore w:val="0"/>
        <w:widowControl/>
        <w:kinsoku/>
        <w:wordWrap/>
        <w:overflowPunct/>
        <w:topLinePunct w:val="0"/>
        <w:autoSpaceDE/>
        <w:autoSpaceDN/>
        <w:bidi w:val="0"/>
        <w:adjustRightInd/>
        <w:snapToGrid/>
        <w:spacing w:beforeAutospacing="0" w:afterAutospacing="0" w:line="400" w:lineRule="exact"/>
        <w:ind w:firstLine="0" w:firstLineChars="0"/>
        <w:jc w:val="center"/>
        <w:textAlignment w:val="auto"/>
        <w:rPr>
          <w:b/>
          <w:color w:val="auto"/>
          <w:szCs w:val="28"/>
        </w:rPr>
      </w:pPr>
    </w:p>
    <w:p w14:paraId="29FAE40B">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auto"/>
        <w:ind w:firstLine="0" w:firstLineChars="0"/>
        <w:jc w:val="center"/>
        <w:textAlignment w:val="auto"/>
        <w:rPr>
          <w:rFonts w:hint="eastAsia" w:ascii="Times New Roman" w:hAnsi="Times New Roman" w:eastAsia="方正小标宋简体" w:cs="Times New Roman"/>
          <w:color w:val="auto"/>
          <w:kern w:val="0"/>
          <w:sz w:val="44"/>
          <w:szCs w:val="44"/>
          <w:lang w:val="en-US" w:eastAsia="zh-CN" w:bidi="ar-SA"/>
        </w:rPr>
      </w:pPr>
      <w:r>
        <w:rPr>
          <w:rFonts w:hint="eastAsia" w:ascii="Times New Roman" w:hAnsi="Times New Roman" w:eastAsia="方正小标宋简体" w:cs="Times New Roman"/>
          <w:color w:val="auto"/>
          <w:kern w:val="0"/>
          <w:sz w:val="44"/>
          <w:szCs w:val="44"/>
          <w:lang w:val="en-US" w:eastAsia="zh-CN" w:bidi="ar-SA"/>
        </w:rPr>
        <w:t>规范安全生产中介行为的九条禁令</w:t>
      </w:r>
    </w:p>
    <w:p w14:paraId="4194D9FF">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auto"/>
        <w:ind w:firstLine="0" w:firstLineChars="0"/>
        <w:jc w:val="center"/>
        <w:textAlignment w:val="auto"/>
        <w:rPr>
          <w:rFonts w:hint="eastAsia" w:ascii="Times New Roman" w:hAnsi="Times New Roman" w:eastAsia="方正小标宋简体" w:cs="Times New Roman"/>
          <w:color w:val="auto"/>
          <w:kern w:val="0"/>
          <w:sz w:val="32"/>
          <w:szCs w:val="32"/>
          <w:lang w:val="en-US" w:eastAsia="zh-CN" w:bidi="ar-SA"/>
        </w:rPr>
      </w:pPr>
      <w:r>
        <w:rPr>
          <w:rFonts w:hint="eastAsia" w:ascii="Times New Roman" w:hAnsi="Times New Roman" w:eastAsia="方正小标宋简体" w:cs="Times New Roman"/>
          <w:color w:val="auto"/>
          <w:kern w:val="0"/>
          <w:sz w:val="32"/>
          <w:szCs w:val="32"/>
          <w:lang w:val="en-US" w:eastAsia="zh-CN" w:bidi="ar-SA"/>
        </w:rPr>
        <w:t>赣安监管规划字〔2017〕178号</w:t>
      </w:r>
    </w:p>
    <w:p w14:paraId="77F321EB">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20" w:lineRule="auto"/>
        <w:ind w:firstLine="560" w:firstLineChars="200"/>
        <w:jc w:val="left"/>
        <w:textAlignment w:val="auto"/>
        <w:rPr>
          <w:rFonts w:ascii="Times New Roman" w:hAnsi="Times New Roman" w:eastAsia="宋体" w:cs="Times New Roman"/>
          <w:color w:val="auto"/>
          <w:kern w:val="0"/>
          <w:sz w:val="28"/>
          <w:szCs w:val="28"/>
          <w:lang w:val="en-US" w:eastAsia="zh-CN" w:bidi="ar-SA"/>
        </w:rPr>
      </w:pPr>
      <w:r>
        <w:rPr>
          <w:rFonts w:ascii="Times New Roman" w:hAnsi="Times New Roman" w:eastAsia="宋体" w:cs="Times New Roman"/>
          <w:color w:val="auto"/>
          <w:kern w:val="0"/>
          <w:sz w:val="28"/>
          <w:szCs w:val="28"/>
          <w:lang w:val="en-US" w:eastAsia="zh-CN" w:bidi="ar-SA"/>
        </w:rPr>
        <w:t>一、禁止从事安全生产服务的中介服务机构（以下统称中介机构）租借资质证书、非法挂靠、转包服务项目的行为</w:t>
      </w:r>
      <w:r>
        <w:rPr>
          <w:rFonts w:hint="eastAsia" w:ascii="Times New Roman" w:hAnsi="Times New Roman" w:eastAsia="宋体" w:cs="Times New Roman"/>
          <w:color w:val="auto"/>
          <w:kern w:val="0"/>
          <w:sz w:val="28"/>
          <w:szCs w:val="28"/>
          <w:lang w:val="en-US" w:eastAsia="zh-CN" w:bidi="ar-SA"/>
        </w:rPr>
        <w:t>；</w:t>
      </w:r>
    </w:p>
    <w:p w14:paraId="63308A7F">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20" w:lineRule="auto"/>
        <w:ind w:firstLine="560" w:firstLineChars="200"/>
        <w:jc w:val="left"/>
        <w:textAlignment w:val="auto"/>
        <w:rPr>
          <w:rFonts w:ascii="Times New Roman" w:hAnsi="Times New Roman" w:eastAsia="宋体" w:cs="Times New Roman"/>
          <w:color w:val="auto"/>
          <w:kern w:val="0"/>
          <w:sz w:val="28"/>
          <w:szCs w:val="28"/>
          <w:lang w:val="en-US" w:eastAsia="zh-CN" w:bidi="ar-SA"/>
        </w:rPr>
      </w:pPr>
      <w:r>
        <w:rPr>
          <w:rFonts w:ascii="Times New Roman" w:hAnsi="Times New Roman" w:eastAsia="宋体" w:cs="Times New Roman"/>
          <w:color w:val="auto"/>
          <w:kern w:val="0"/>
          <w:sz w:val="28"/>
          <w:szCs w:val="28"/>
          <w:lang w:val="en-US" w:eastAsia="zh-CN" w:bidi="ar-SA"/>
        </w:rPr>
        <w:t>二、禁止中介机构假借、冒用他人名义要求服务对象接受有偿服务，或者恶意低价竞争以及采取串标、围标等不正当竞争手段，扰乱技术服务市场秩序的行为；</w:t>
      </w:r>
    </w:p>
    <w:p w14:paraId="4216FD63">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20" w:lineRule="auto"/>
        <w:ind w:firstLine="560" w:firstLineChars="200"/>
        <w:jc w:val="left"/>
        <w:textAlignment w:val="auto"/>
        <w:rPr>
          <w:rFonts w:ascii="Times New Roman" w:hAnsi="Times New Roman" w:eastAsia="宋体" w:cs="Times New Roman"/>
          <w:color w:val="auto"/>
          <w:kern w:val="0"/>
          <w:sz w:val="28"/>
          <w:szCs w:val="28"/>
          <w:lang w:val="en-US" w:eastAsia="zh-CN" w:bidi="ar-SA"/>
        </w:rPr>
      </w:pPr>
      <w:r>
        <w:rPr>
          <w:rFonts w:ascii="Times New Roman" w:hAnsi="Times New Roman" w:eastAsia="宋体" w:cs="Times New Roman"/>
          <w:color w:val="auto"/>
          <w:kern w:val="0"/>
          <w:sz w:val="28"/>
          <w:szCs w:val="28"/>
          <w:lang w:val="en-US" w:eastAsia="zh-CN" w:bidi="ar-SA"/>
        </w:rPr>
        <w:t>三、禁止中介机构出具虚假或漏项、缺项技术报告的行为；</w:t>
      </w:r>
    </w:p>
    <w:p w14:paraId="4FA30D18">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20" w:lineRule="auto"/>
        <w:ind w:firstLine="560" w:firstLineChars="200"/>
        <w:jc w:val="left"/>
        <w:textAlignment w:val="auto"/>
        <w:rPr>
          <w:rFonts w:ascii="Times New Roman" w:hAnsi="Times New Roman" w:eastAsia="宋体" w:cs="Times New Roman"/>
          <w:color w:val="auto"/>
          <w:kern w:val="0"/>
          <w:sz w:val="28"/>
          <w:szCs w:val="28"/>
          <w:lang w:val="en-US" w:eastAsia="zh-CN" w:bidi="ar-SA"/>
        </w:rPr>
      </w:pPr>
      <w:r>
        <w:rPr>
          <w:rFonts w:ascii="Times New Roman" w:hAnsi="Times New Roman" w:eastAsia="宋体" w:cs="Times New Roman"/>
          <w:color w:val="auto"/>
          <w:kern w:val="0"/>
          <w:sz w:val="28"/>
          <w:szCs w:val="28"/>
          <w:lang w:val="en-US" w:eastAsia="zh-CN" w:bidi="ar-SA"/>
        </w:rPr>
        <w:t>四</w:t>
      </w:r>
      <w:r>
        <w:rPr>
          <w:rFonts w:ascii="Times New Roman" w:hAnsi="Times New Roman" w:eastAsia="宋体"/>
          <w:color w:val="auto"/>
          <w:kern w:val="0"/>
          <w:sz w:val="28"/>
          <w:szCs w:val="28"/>
        </w:rPr>
        <w:t>、</w:t>
      </w:r>
      <w:r>
        <w:rPr>
          <w:rFonts w:hint="eastAsia" w:ascii="Times New Roman" w:hAnsi="Times New Roman" w:eastAsia="宋体" w:cs="Times New Roman"/>
          <w:color w:val="auto"/>
          <w:kern w:val="0"/>
          <w:sz w:val="28"/>
          <w:szCs w:val="28"/>
          <w:lang w:val="en-US" w:eastAsia="zh-CN" w:bidi="ar-SA"/>
        </w:rPr>
        <w:t>禁止中介机构出租、出借资格证书、在报告上冒用他人签名的行为；</w:t>
      </w:r>
    </w:p>
    <w:p w14:paraId="22D55C78">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20" w:lineRule="auto"/>
        <w:ind w:firstLine="560" w:firstLineChars="200"/>
        <w:jc w:val="left"/>
        <w:textAlignment w:val="auto"/>
        <w:rPr>
          <w:rFonts w:ascii="Times New Roman" w:hAnsi="Times New Roman" w:eastAsia="宋体" w:cs="Times New Roman"/>
          <w:color w:val="auto"/>
          <w:kern w:val="0"/>
          <w:sz w:val="28"/>
          <w:szCs w:val="28"/>
          <w:lang w:val="en-US" w:eastAsia="zh-CN" w:bidi="ar-SA"/>
        </w:rPr>
      </w:pPr>
      <w:r>
        <w:rPr>
          <w:rFonts w:ascii="Times New Roman" w:hAnsi="Times New Roman" w:eastAsia="宋体" w:cs="Times New Roman"/>
          <w:color w:val="auto"/>
          <w:kern w:val="0"/>
          <w:sz w:val="28"/>
          <w:szCs w:val="28"/>
          <w:lang w:val="en-US" w:eastAsia="zh-CN" w:bidi="ar-SA"/>
        </w:rPr>
        <w:t>五、禁止中介机构有应到而不到现场开展技术服务的行为；</w:t>
      </w:r>
    </w:p>
    <w:p w14:paraId="305E9EF9">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20" w:lineRule="auto"/>
        <w:ind w:firstLine="560" w:firstLineChars="200"/>
        <w:jc w:val="left"/>
        <w:textAlignment w:val="auto"/>
        <w:rPr>
          <w:rFonts w:ascii="Times New Roman" w:hAnsi="Times New Roman" w:eastAsia="宋体" w:cs="Times New Roman"/>
          <w:color w:val="auto"/>
          <w:kern w:val="0"/>
          <w:sz w:val="28"/>
          <w:szCs w:val="28"/>
          <w:lang w:val="en-US" w:eastAsia="zh-CN" w:bidi="ar-SA"/>
        </w:rPr>
      </w:pPr>
      <w:r>
        <w:rPr>
          <w:rFonts w:ascii="Times New Roman" w:hAnsi="Times New Roman" w:eastAsia="宋体" w:cs="Times New Roman"/>
          <w:color w:val="auto"/>
          <w:kern w:val="0"/>
          <w:sz w:val="28"/>
          <w:szCs w:val="28"/>
          <w:lang w:val="en-US" w:eastAsia="zh-CN" w:bidi="ar-SA"/>
        </w:rPr>
        <w:t>六、禁止安全生产监管部门及其工作人员要求生产经营单位接受指定的中介机构开展技术服务的行为；</w:t>
      </w:r>
    </w:p>
    <w:p w14:paraId="50DB7715">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20" w:lineRule="auto"/>
        <w:ind w:firstLine="560" w:firstLineChars="200"/>
        <w:jc w:val="left"/>
        <w:textAlignment w:val="auto"/>
        <w:rPr>
          <w:rFonts w:ascii="Times New Roman" w:hAnsi="Times New Roman" w:eastAsia="宋体" w:cs="Times New Roman"/>
          <w:color w:val="auto"/>
          <w:kern w:val="0"/>
          <w:sz w:val="28"/>
          <w:szCs w:val="28"/>
          <w:lang w:val="en-US" w:eastAsia="zh-CN" w:bidi="ar-SA"/>
        </w:rPr>
      </w:pPr>
      <w:r>
        <w:rPr>
          <w:rFonts w:ascii="Times New Roman" w:hAnsi="Times New Roman" w:eastAsia="宋体" w:cs="Times New Roman"/>
          <w:color w:val="auto"/>
          <w:kern w:val="0"/>
          <w:sz w:val="28"/>
          <w:szCs w:val="28"/>
          <w:lang w:val="en-US" w:eastAsia="zh-CN" w:bidi="ar-SA"/>
        </w:rPr>
        <w:t>七、禁止安全生产监管部门及其工作人员没有法律依据组织由生产经营单位或机构支付费用的行政性评审的行为；</w:t>
      </w:r>
    </w:p>
    <w:p w14:paraId="2C234CF8">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20" w:lineRule="auto"/>
        <w:ind w:firstLine="560" w:firstLineChars="200"/>
        <w:jc w:val="left"/>
        <w:textAlignment w:val="auto"/>
        <w:rPr>
          <w:rFonts w:ascii="Times New Roman" w:hAnsi="Times New Roman" w:eastAsia="宋体" w:cs="Times New Roman"/>
          <w:color w:val="auto"/>
          <w:kern w:val="0"/>
          <w:sz w:val="28"/>
          <w:szCs w:val="28"/>
          <w:lang w:val="en-US" w:eastAsia="zh-CN" w:bidi="ar-SA"/>
        </w:rPr>
      </w:pPr>
      <w:r>
        <w:rPr>
          <w:rFonts w:ascii="Times New Roman" w:hAnsi="Times New Roman" w:eastAsia="宋体" w:cs="Times New Roman"/>
          <w:color w:val="auto"/>
          <w:kern w:val="0"/>
          <w:sz w:val="28"/>
          <w:szCs w:val="28"/>
          <w:lang w:val="en-US" w:eastAsia="zh-CN" w:bidi="ar-SA"/>
        </w:rPr>
        <w:t>八、禁止安全生产监管部门及其工作人员干预市场定价，违规擅自出台技术服务收费标准的行为；</w:t>
      </w:r>
    </w:p>
    <w:p w14:paraId="490F08CB">
      <w:pPr>
        <w:keepNext w:val="0"/>
        <w:keepLines w:val="0"/>
        <w:pageBreakBefore w:val="0"/>
        <w:kinsoku/>
        <w:wordWrap/>
        <w:overflowPunct/>
        <w:topLinePunct w:val="0"/>
        <w:autoSpaceDE/>
        <w:autoSpaceDN/>
        <w:bidi w:val="0"/>
        <w:adjustRightInd/>
        <w:snapToGrid/>
        <w:spacing w:line="420" w:lineRule="auto"/>
        <w:ind w:firstLine="560" w:firstLineChars="200"/>
        <w:jc w:val="left"/>
        <w:textAlignment w:val="auto"/>
        <w:rPr>
          <w:rFonts w:ascii="Times New Roman" w:hAnsi="Times New Roman" w:eastAsia="宋体"/>
          <w:color w:val="auto"/>
          <w:kern w:val="0"/>
          <w:szCs w:val="28"/>
        </w:rPr>
      </w:pPr>
      <w:r>
        <w:rPr>
          <w:rFonts w:ascii="Times New Roman" w:hAnsi="Times New Roman" w:eastAsia="宋体"/>
          <w:color w:val="auto"/>
          <w:kern w:val="0"/>
          <w:szCs w:val="28"/>
        </w:rPr>
        <w:t>九、禁止安全生产监管部门及其工作人员参与、擅自干预中介机构从业活动，或者有获取不正当利益的行为。</w:t>
      </w:r>
    </w:p>
    <w:p w14:paraId="3CB608A5">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640" w:firstLineChars="200"/>
        <w:textAlignment w:val="auto"/>
        <w:rPr>
          <w:rFonts w:hint="default" w:ascii="Times New Roman" w:hAnsi="Times New Roman" w:cs="Times New Roman"/>
          <w:color w:val="auto"/>
          <w:sz w:val="32"/>
          <w:szCs w:val="32"/>
        </w:rPr>
      </w:pPr>
    </w:p>
    <w:p w14:paraId="4E77486D">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640" w:firstLineChars="200"/>
        <w:textAlignment w:val="auto"/>
        <w:rPr>
          <w:rFonts w:hint="default" w:ascii="Times New Roman" w:hAnsi="Times New Roman" w:cs="Times New Roman"/>
          <w:color w:val="auto"/>
          <w:sz w:val="32"/>
          <w:szCs w:val="32"/>
        </w:rPr>
      </w:pPr>
    </w:p>
    <w:p w14:paraId="425FE16D">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Times New Roman" w:hAnsi="Times New Roman" w:eastAsia="黑体" w:cs="Times New Roman"/>
          <w:b/>
          <w:color w:val="auto"/>
          <w:sz w:val="32"/>
          <w:szCs w:val="32"/>
        </w:rPr>
      </w:pPr>
    </w:p>
    <w:p w14:paraId="3D4BB78A">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Times New Roman" w:hAnsi="Times New Roman" w:eastAsia="黑体" w:cs="Times New Roman"/>
          <w:b/>
          <w:color w:val="auto"/>
          <w:sz w:val="32"/>
          <w:szCs w:val="32"/>
        </w:rPr>
      </w:pPr>
      <w:r>
        <w:rPr>
          <w:rFonts w:ascii="Times New Roman" w:hAnsi="Times New Roman" w:eastAsia="黑体" w:cs="Times New Roman"/>
          <w:b/>
          <w:color w:val="auto"/>
          <w:sz w:val="32"/>
          <w:szCs w:val="32"/>
        </w:rPr>
        <w:t>评 价 人 员</w:t>
      </w:r>
    </w:p>
    <w:p w14:paraId="0AF46855">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Times New Roman" w:hAnsi="Times New Roman" w:eastAsia="黑体" w:cs="Times New Roman"/>
          <w:b/>
          <w:color w:val="auto"/>
          <w:sz w:val="32"/>
          <w:szCs w:val="32"/>
        </w:rPr>
      </w:pPr>
    </w:p>
    <w:p w14:paraId="6BB95049">
      <w:pPr>
        <w:pStyle w:val="27"/>
        <w:rPr>
          <w:color w:val="auto"/>
        </w:rPr>
      </w:pP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7"/>
        <w:gridCol w:w="1290"/>
        <w:gridCol w:w="3018"/>
        <w:gridCol w:w="1564"/>
        <w:gridCol w:w="1301"/>
      </w:tblGrid>
      <w:tr w14:paraId="72A9C6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exact"/>
          <w:jc w:val="center"/>
        </w:trPr>
        <w:tc>
          <w:tcPr>
            <w:tcW w:w="1947" w:type="dxa"/>
            <w:tcBorders>
              <w:top w:val="single" w:color="auto" w:sz="4" w:space="0"/>
              <w:left w:val="single" w:color="auto" w:sz="4" w:space="0"/>
              <w:bottom w:val="single" w:color="auto" w:sz="4" w:space="0"/>
              <w:right w:val="single" w:color="auto" w:sz="4" w:space="0"/>
            </w:tcBorders>
            <w:noWrap w:val="0"/>
            <w:vAlign w:val="center"/>
          </w:tcPr>
          <w:p w14:paraId="3A4AFFF8">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c>
          <w:tcPr>
            <w:tcW w:w="1290" w:type="dxa"/>
            <w:tcBorders>
              <w:top w:val="single" w:color="auto" w:sz="4" w:space="0"/>
              <w:left w:val="single" w:color="auto" w:sz="4" w:space="0"/>
              <w:bottom w:val="single" w:color="auto" w:sz="4" w:space="0"/>
              <w:right w:val="single" w:color="auto" w:sz="4" w:space="0"/>
            </w:tcBorders>
            <w:noWrap w:val="0"/>
            <w:vAlign w:val="center"/>
          </w:tcPr>
          <w:p w14:paraId="6B311BB5">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姓  名</w:t>
            </w:r>
          </w:p>
        </w:tc>
        <w:tc>
          <w:tcPr>
            <w:tcW w:w="3018" w:type="dxa"/>
            <w:tcBorders>
              <w:top w:val="single" w:color="auto" w:sz="4" w:space="0"/>
              <w:left w:val="single" w:color="auto" w:sz="4" w:space="0"/>
              <w:bottom w:val="single" w:color="auto" w:sz="4" w:space="0"/>
              <w:right w:val="single" w:color="auto" w:sz="4" w:space="0"/>
            </w:tcBorders>
            <w:noWrap w:val="0"/>
            <w:vAlign w:val="center"/>
          </w:tcPr>
          <w:p w14:paraId="04B6E938">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证书编号</w:t>
            </w:r>
          </w:p>
        </w:tc>
        <w:tc>
          <w:tcPr>
            <w:tcW w:w="1564" w:type="dxa"/>
            <w:tcBorders>
              <w:top w:val="single" w:color="auto" w:sz="4" w:space="0"/>
              <w:left w:val="single" w:color="auto" w:sz="4" w:space="0"/>
              <w:bottom w:val="single" w:color="auto" w:sz="4" w:space="0"/>
              <w:right w:val="single" w:color="auto" w:sz="4" w:space="0"/>
            </w:tcBorders>
            <w:noWrap w:val="0"/>
            <w:vAlign w:val="center"/>
          </w:tcPr>
          <w:p w14:paraId="6C94CACF">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从业登记号</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1651FACA">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签字</w:t>
            </w:r>
          </w:p>
        </w:tc>
      </w:tr>
      <w:tr w14:paraId="6B97C3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exact"/>
          <w:jc w:val="center"/>
        </w:trPr>
        <w:tc>
          <w:tcPr>
            <w:tcW w:w="1947" w:type="dxa"/>
            <w:tcBorders>
              <w:top w:val="single" w:color="auto" w:sz="4" w:space="0"/>
              <w:left w:val="single" w:color="auto" w:sz="4" w:space="0"/>
              <w:bottom w:val="single" w:color="auto" w:sz="4" w:space="0"/>
              <w:right w:val="single" w:color="auto" w:sz="4" w:space="0"/>
            </w:tcBorders>
            <w:noWrap w:val="0"/>
            <w:vAlign w:val="center"/>
          </w:tcPr>
          <w:p w14:paraId="23B51FD4">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项目负责人</w:t>
            </w:r>
          </w:p>
        </w:tc>
        <w:tc>
          <w:tcPr>
            <w:tcW w:w="1290" w:type="dxa"/>
            <w:tcBorders>
              <w:top w:val="single" w:color="auto" w:sz="4" w:space="0"/>
              <w:left w:val="single" w:color="auto" w:sz="4" w:space="0"/>
              <w:bottom w:val="single" w:color="auto" w:sz="4" w:space="0"/>
              <w:right w:val="single" w:color="auto" w:sz="4" w:space="0"/>
            </w:tcBorders>
            <w:noWrap w:val="0"/>
            <w:vAlign w:val="center"/>
          </w:tcPr>
          <w:p w14:paraId="64990F36">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许玉才</w:t>
            </w:r>
          </w:p>
        </w:tc>
        <w:tc>
          <w:tcPr>
            <w:tcW w:w="3018" w:type="dxa"/>
            <w:tcBorders>
              <w:top w:val="single" w:color="auto" w:sz="4" w:space="0"/>
              <w:left w:val="single" w:color="auto" w:sz="4" w:space="0"/>
              <w:bottom w:val="single" w:color="auto" w:sz="4" w:space="0"/>
              <w:right w:val="single" w:color="auto" w:sz="4" w:space="0"/>
            </w:tcBorders>
            <w:noWrap w:val="0"/>
            <w:vAlign w:val="center"/>
          </w:tcPr>
          <w:p w14:paraId="22644293">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1800000000200658</w:t>
            </w:r>
          </w:p>
        </w:tc>
        <w:tc>
          <w:tcPr>
            <w:tcW w:w="1564" w:type="dxa"/>
            <w:tcBorders>
              <w:top w:val="single" w:color="auto" w:sz="4" w:space="0"/>
              <w:left w:val="single" w:color="auto" w:sz="4" w:space="0"/>
              <w:bottom w:val="single" w:color="auto" w:sz="4" w:space="0"/>
              <w:right w:val="single" w:color="auto" w:sz="4" w:space="0"/>
            </w:tcBorders>
            <w:noWrap w:val="0"/>
            <w:vAlign w:val="center"/>
          </w:tcPr>
          <w:p w14:paraId="5469B6F1">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033460</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692FFA8F">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r>
      <w:tr w14:paraId="1E8127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exact"/>
          <w:jc w:val="center"/>
        </w:trPr>
        <w:tc>
          <w:tcPr>
            <w:tcW w:w="1947" w:type="dxa"/>
            <w:vMerge w:val="restart"/>
            <w:tcBorders>
              <w:top w:val="single" w:color="auto" w:sz="4" w:space="0"/>
              <w:left w:val="single" w:color="auto" w:sz="4" w:space="0"/>
              <w:right w:val="single" w:color="auto" w:sz="4" w:space="0"/>
            </w:tcBorders>
            <w:noWrap w:val="0"/>
            <w:vAlign w:val="center"/>
          </w:tcPr>
          <w:p w14:paraId="5528E202">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项目组成员</w:t>
            </w:r>
          </w:p>
        </w:tc>
        <w:tc>
          <w:tcPr>
            <w:tcW w:w="1290" w:type="dxa"/>
            <w:tcBorders>
              <w:top w:val="single" w:color="auto" w:sz="4" w:space="0"/>
              <w:left w:val="single" w:color="auto" w:sz="4" w:space="0"/>
              <w:bottom w:val="single" w:color="auto" w:sz="4" w:space="0"/>
              <w:right w:val="single" w:color="auto" w:sz="4" w:space="0"/>
            </w:tcBorders>
            <w:noWrap w:val="0"/>
            <w:vAlign w:val="center"/>
          </w:tcPr>
          <w:p w14:paraId="6C747956">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cs="Times New Roman"/>
                <w:color w:val="auto"/>
                <w:sz w:val="24"/>
                <w:lang w:val="en-US" w:eastAsia="zh-CN"/>
              </w:rPr>
              <w:t>管自强</w:t>
            </w:r>
          </w:p>
        </w:tc>
        <w:tc>
          <w:tcPr>
            <w:tcW w:w="3018" w:type="dxa"/>
            <w:tcBorders>
              <w:top w:val="single" w:color="auto" w:sz="4" w:space="0"/>
              <w:left w:val="single" w:color="auto" w:sz="4" w:space="0"/>
              <w:bottom w:val="single" w:color="auto" w:sz="4" w:space="0"/>
              <w:right w:val="single" w:color="auto" w:sz="4" w:space="0"/>
            </w:tcBorders>
            <w:noWrap w:val="0"/>
            <w:vAlign w:val="center"/>
          </w:tcPr>
          <w:p w14:paraId="06838B77">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rPr>
              <w:t>S011035000110191000614</w:t>
            </w:r>
          </w:p>
        </w:tc>
        <w:tc>
          <w:tcPr>
            <w:tcW w:w="1564" w:type="dxa"/>
            <w:tcBorders>
              <w:top w:val="single" w:color="auto" w:sz="4" w:space="0"/>
              <w:left w:val="single" w:color="auto" w:sz="4" w:space="0"/>
              <w:bottom w:val="single" w:color="auto" w:sz="4" w:space="0"/>
              <w:right w:val="single" w:color="auto" w:sz="4" w:space="0"/>
            </w:tcBorders>
            <w:noWrap w:val="0"/>
            <w:vAlign w:val="center"/>
          </w:tcPr>
          <w:p w14:paraId="05B2AF0E">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rPr>
              <w:t>020516</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585386E4">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r>
      <w:tr w14:paraId="6A6095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exact"/>
          <w:jc w:val="center"/>
        </w:trPr>
        <w:tc>
          <w:tcPr>
            <w:tcW w:w="1947" w:type="dxa"/>
            <w:vMerge w:val="continue"/>
            <w:tcBorders>
              <w:left w:val="single" w:color="auto" w:sz="4" w:space="0"/>
              <w:right w:val="single" w:color="auto" w:sz="4" w:space="0"/>
            </w:tcBorders>
            <w:noWrap w:val="0"/>
            <w:vAlign w:val="center"/>
          </w:tcPr>
          <w:p w14:paraId="24464CC7">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c>
          <w:tcPr>
            <w:tcW w:w="1290" w:type="dxa"/>
            <w:tcBorders>
              <w:top w:val="single" w:color="auto" w:sz="4" w:space="0"/>
              <w:left w:val="single" w:color="auto" w:sz="4" w:space="0"/>
              <w:bottom w:val="single" w:color="auto" w:sz="4" w:space="0"/>
              <w:right w:val="single" w:color="auto" w:sz="4" w:space="0"/>
            </w:tcBorders>
            <w:noWrap w:val="0"/>
            <w:vAlign w:val="center"/>
          </w:tcPr>
          <w:p w14:paraId="2CA18B5F">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rPr>
              <w:t>郑  强</w:t>
            </w:r>
          </w:p>
        </w:tc>
        <w:tc>
          <w:tcPr>
            <w:tcW w:w="3018" w:type="dxa"/>
            <w:tcBorders>
              <w:top w:val="single" w:color="auto" w:sz="4" w:space="0"/>
              <w:left w:val="single" w:color="auto" w:sz="4" w:space="0"/>
              <w:bottom w:val="single" w:color="auto" w:sz="4" w:space="0"/>
              <w:right w:val="single" w:color="auto" w:sz="4" w:space="0"/>
            </w:tcBorders>
            <w:noWrap w:val="0"/>
            <w:vAlign w:val="center"/>
          </w:tcPr>
          <w:p w14:paraId="19320020">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rPr>
              <w:t>0800000000101605</w:t>
            </w:r>
          </w:p>
        </w:tc>
        <w:tc>
          <w:tcPr>
            <w:tcW w:w="1564" w:type="dxa"/>
            <w:tcBorders>
              <w:top w:val="single" w:color="auto" w:sz="4" w:space="0"/>
              <w:left w:val="single" w:color="auto" w:sz="4" w:space="0"/>
              <w:bottom w:val="single" w:color="auto" w:sz="4" w:space="0"/>
              <w:right w:val="single" w:color="auto" w:sz="4" w:space="0"/>
            </w:tcBorders>
            <w:noWrap w:val="0"/>
            <w:vAlign w:val="center"/>
          </w:tcPr>
          <w:p w14:paraId="1AEBEE4F">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rPr>
              <w:t>001851</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58D5C139">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r>
      <w:tr w14:paraId="17D4F2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exact"/>
          <w:jc w:val="center"/>
        </w:trPr>
        <w:tc>
          <w:tcPr>
            <w:tcW w:w="1947" w:type="dxa"/>
            <w:vMerge w:val="continue"/>
            <w:tcBorders>
              <w:left w:val="single" w:color="auto" w:sz="4" w:space="0"/>
              <w:right w:val="single" w:color="auto" w:sz="4" w:space="0"/>
            </w:tcBorders>
            <w:noWrap w:val="0"/>
            <w:vAlign w:val="center"/>
          </w:tcPr>
          <w:p w14:paraId="05A4C205">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c>
          <w:tcPr>
            <w:tcW w:w="1290" w:type="dxa"/>
            <w:tcBorders>
              <w:top w:val="single" w:color="auto" w:sz="4" w:space="0"/>
              <w:left w:val="single" w:color="auto" w:sz="4" w:space="0"/>
              <w:bottom w:val="single" w:color="auto" w:sz="4" w:space="0"/>
              <w:right w:val="single" w:color="auto" w:sz="4" w:space="0"/>
            </w:tcBorders>
            <w:noWrap w:val="0"/>
            <w:vAlign w:val="center"/>
          </w:tcPr>
          <w:p w14:paraId="0F202A55">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黄伯扬</w:t>
            </w:r>
          </w:p>
        </w:tc>
        <w:tc>
          <w:tcPr>
            <w:tcW w:w="3018" w:type="dxa"/>
            <w:tcBorders>
              <w:top w:val="single" w:color="auto" w:sz="4" w:space="0"/>
              <w:left w:val="single" w:color="auto" w:sz="4" w:space="0"/>
              <w:bottom w:val="single" w:color="auto" w:sz="4" w:space="0"/>
              <w:right w:val="single" w:color="auto" w:sz="4" w:space="0"/>
            </w:tcBorders>
            <w:noWrap w:val="0"/>
            <w:vAlign w:val="center"/>
          </w:tcPr>
          <w:p w14:paraId="17F54AE1">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cs="Times New Roman"/>
                <w:color w:val="auto"/>
                <w:sz w:val="24"/>
                <w:lang w:val="en-US" w:eastAsia="zh-CN"/>
              </w:rPr>
              <w:t>1</w:t>
            </w:r>
            <w:r>
              <w:rPr>
                <w:rFonts w:hint="default" w:ascii="Times New Roman" w:hAnsi="Times New Roman" w:eastAsia="宋体" w:cs="Times New Roman"/>
                <w:color w:val="auto"/>
                <w:sz w:val="24"/>
              </w:rPr>
              <w:t>800000000</w:t>
            </w:r>
            <w:r>
              <w:rPr>
                <w:rFonts w:hint="default" w:ascii="Times New Roman" w:hAnsi="Times New Roman" w:cs="Times New Roman"/>
                <w:color w:val="auto"/>
                <w:sz w:val="24"/>
                <w:lang w:val="en-US" w:eastAsia="zh-CN"/>
              </w:rPr>
              <w:t>3</w:t>
            </w:r>
            <w:r>
              <w:rPr>
                <w:rFonts w:hint="default" w:ascii="Times New Roman" w:hAnsi="Times New Roman" w:eastAsia="宋体" w:cs="Times New Roman"/>
                <w:color w:val="auto"/>
                <w:sz w:val="24"/>
              </w:rPr>
              <w:t>0</w:t>
            </w:r>
            <w:r>
              <w:rPr>
                <w:rFonts w:hint="default" w:ascii="Times New Roman" w:hAnsi="Times New Roman" w:cs="Times New Roman"/>
                <w:color w:val="auto"/>
                <w:sz w:val="24"/>
                <w:lang w:val="en-US" w:eastAsia="zh-CN"/>
              </w:rPr>
              <w:t>0643</w:t>
            </w:r>
          </w:p>
        </w:tc>
        <w:tc>
          <w:tcPr>
            <w:tcW w:w="1564" w:type="dxa"/>
            <w:tcBorders>
              <w:top w:val="single" w:color="auto" w:sz="4" w:space="0"/>
              <w:left w:val="single" w:color="auto" w:sz="4" w:space="0"/>
              <w:bottom w:val="single" w:color="auto" w:sz="4" w:space="0"/>
              <w:right w:val="single" w:color="auto" w:sz="4" w:space="0"/>
            </w:tcBorders>
            <w:noWrap w:val="0"/>
            <w:vAlign w:val="center"/>
          </w:tcPr>
          <w:p w14:paraId="184C7D89">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cs="Times New Roman"/>
                <w:color w:val="auto"/>
                <w:sz w:val="24"/>
                <w:lang w:val="en-US" w:eastAsia="zh-CN"/>
              </w:rPr>
              <w:t>032737</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126CA83A">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r>
      <w:tr w14:paraId="6AAEB1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exact"/>
          <w:jc w:val="center"/>
        </w:trPr>
        <w:tc>
          <w:tcPr>
            <w:tcW w:w="1947" w:type="dxa"/>
            <w:vMerge w:val="continue"/>
            <w:tcBorders>
              <w:left w:val="single" w:color="auto" w:sz="4" w:space="0"/>
              <w:right w:val="single" w:color="auto" w:sz="4" w:space="0"/>
            </w:tcBorders>
            <w:noWrap w:val="0"/>
            <w:vAlign w:val="center"/>
          </w:tcPr>
          <w:p w14:paraId="03DA24EA">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c>
          <w:tcPr>
            <w:tcW w:w="1290" w:type="dxa"/>
            <w:tcBorders>
              <w:top w:val="single" w:color="auto" w:sz="4" w:space="0"/>
              <w:left w:val="single" w:color="auto" w:sz="4" w:space="0"/>
              <w:bottom w:val="single" w:color="auto" w:sz="4" w:space="0"/>
              <w:right w:val="single" w:color="auto" w:sz="4" w:space="0"/>
            </w:tcBorders>
            <w:noWrap w:val="0"/>
            <w:vAlign w:val="center"/>
          </w:tcPr>
          <w:p w14:paraId="3621BC97">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rPr>
              <w:t>许玉才</w:t>
            </w:r>
          </w:p>
        </w:tc>
        <w:tc>
          <w:tcPr>
            <w:tcW w:w="3018" w:type="dxa"/>
            <w:tcBorders>
              <w:top w:val="single" w:color="auto" w:sz="4" w:space="0"/>
              <w:left w:val="single" w:color="auto" w:sz="4" w:space="0"/>
              <w:bottom w:val="single" w:color="auto" w:sz="4" w:space="0"/>
              <w:right w:val="single" w:color="auto" w:sz="4" w:space="0"/>
            </w:tcBorders>
            <w:noWrap w:val="0"/>
            <w:vAlign w:val="center"/>
          </w:tcPr>
          <w:p w14:paraId="1D078611">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1800000000200658</w:t>
            </w:r>
          </w:p>
        </w:tc>
        <w:tc>
          <w:tcPr>
            <w:tcW w:w="1564" w:type="dxa"/>
            <w:tcBorders>
              <w:top w:val="single" w:color="auto" w:sz="4" w:space="0"/>
              <w:left w:val="single" w:color="auto" w:sz="4" w:space="0"/>
              <w:bottom w:val="single" w:color="auto" w:sz="4" w:space="0"/>
              <w:right w:val="single" w:color="auto" w:sz="4" w:space="0"/>
            </w:tcBorders>
            <w:noWrap w:val="0"/>
            <w:vAlign w:val="center"/>
          </w:tcPr>
          <w:p w14:paraId="78DC5AF5">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033460</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7835EC04">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r>
      <w:tr w14:paraId="04160E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exact"/>
          <w:jc w:val="center"/>
        </w:trPr>
        <w:tc>
          <w:tcPr>
            <w:tcW w:w="1947" w:type="dxa"/>
            <w:vMerge w:val="continue"/>
            <w:tcBorders>
              <w:left w:val="single" w:color="auto" w:sz="4" w:space="0"/>
              <w:right w:val="single" w:color="auto" w:sz="4" w:space="0"/>
            </w:tcBorders>
            <w:noWrap w:val="0"/>
            <w:vAlign w:val="center"/>
          </w:tcPr>
          <w:p w14:paraId="68C10DB5">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c>
          <w:tcPr>
            <w:tcW w:w="1290" w:type="dxa"/>
            <w:tcBorders>
              <w:top w:val="single" w:color="auto" w:sz="4" w:space="0"/>
              <w:left w:val="single" w:color="auto" w:sz="4" w:space="0"/>
              <w:bottom w:val="single" w:color="auto" w:sz="4" w:space="0"/>
              <w:right w:val="single" w:color="auto" w:sz="4" w:space="0"/>
            </w:tcBorders>
            <w:noWrap w:val="0"/>
            <w:vAlign w:val="center"/>
          </w:tcPr>
          <w:p w14:paraId="7E26D9BA">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sz w:val="24"/>
              </w:rPr>
              <w:t>王纪鹏</w:t>
            </w:r>
          </w:p>
        </w:tc>
        <w:tc>
          <w:tcPr>
            <w:tcW w:w="3018" w:type="dxa"/>
            <w:tcBorders>
              <w:top w:val="single" w:color="auto" w:sz="4" w:space="0"/>
              <w:left w:val="single" w:color="auto" w:sz="4" w:space="0"/>
              <w:bottom w:val="single" w:color="auto" w:sz="4" w:space="0"/>
              <w:right w:val="single" w:color="auto" w:sz="4" w:space="0"/>
            </w:tcBorders>
            <w:noWrap w:val="0"/>
            <w:vAlign w:val="center"/>
          </w:tcPr>
          <w:p w14:paraId="27D51E95">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sz w:val="24"/>
              </w:rPr>
              <w:t>S01103500011019</w:t>
            </w:r>
            <w:r>
              <w:rPr>
                <w:rFonts w:hint="default" w:ascii="Times New Roman" w:hAnsi="Times New Roman" w:cs="Times New Roman"/>
                <w:color w:val="auto"/>
                <w:sz w:val="24"/>
                <w:lang w:val="en-US" w:eastAsia="zh-CN"/>
              </w:rPr>
              <w:t>2</w:t>
            </w:r>
            <w:r>
              <w:rPr>
                <w:rFonts w:hint="default" w:ascii="Times New Roman" w:hAnsi="Times New Roman" w:eastAsia="宋体" w:cs="Times New Roman"/>
                <w:color w:val="auto"/>
                <w:sz w:val="24"/>
              </w:rPr>
              <w:t>00</w:t>
            </w:r>
            <w:r>
              <w:rPr>
                <w:rFonts w:hint="default" w:ascii="Times New Roman" w:hAnsi="Times New Roman" w:cs="Times New Roman"/>
                <w:color w:val="auto"/>
                <w:sz w:val="24"/>
                <w:lang w:val="en-US" w:eastAsia="zh-CN"/>
              </w:rPr>
              <w:t>155</w:t>
            </w:r>
            <w:r>
              <w:rPr>
                <w:rFonts w:hint="eastAsia" w:cs="Times New Roman"/>
                <w:color w:val="auto"/>
                <w:sz w:val="24"/>
                <w:lang w:val="en-US" w:eastAsia="zh-CN"/>
              </w:rPr>
              <w:t>2</w:t>
            </w:r>
          </w:p>
        </w:tc>
        <w:tc>
          <w:tcPr>
            <w:tcW w:w="1564" w:type="dxa"/>
            <w:tcBorders>
              <w:top w:val="single" w:color="auto" w:sz="4" w:space="0"/>
              <w:left w:val="single" w:color="auto" w:sz="4" w:space="0"/>
              <w:bottom w:val="single" w:color="auto" w:sz="4" w:space="0"/>
              <w:right w:val="single" w:color="auto" w:sz="4" w:space="0"/>
            </w:tcBorders>
            <w:noWrap w:val="0"/>
            <w:vAlign w:val="center"/>
          </w:tcPr>
          <w:p w14:paraId="59E2DBCF">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sz w:val="24"/>
              </w:rPr>
              <w:t>036830</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3826168B">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r>
      <w:tr w14:paraId="7EC8E6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exact"/>
          <w:jc w:val="center"/>
        </w:trPr>
        <w:tc>
          <w:tcPr>
            <w:tcW w:w="1947" w:type="dxa"/>
            <w:tcBorders>
              <w:top w:val="single" w:color="auto" w:sz="4" w:space="0"/>
              <w:left w:val="single" w:color="auto" w:sz="4" w:space="0"/>
              <w:right w:val="single" w:color="auto" w:sz="4" w:space="0"/>
            </w:tcBorders>
            <w:noWrap w:val="0"/>
            <w:vAlign w:val="center"/>
          </w:tcPr>
          <w:p w14:paraId="27E54449">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报告编制人</w:t>
            </w:r>
          </w:p>
        </w:tc>
        <w:tc>
          <w:tcPr>
            <w:tcW w:w="1290" w:type="dxa"/>
            <w:tcBorders>
              <w:top w:val="single" w:color="auto" w:sz="4" w:space="0"/>
              <w:left w:val="single" w:color="auto" w:sz="4" w:space="0"/>
              <w:bottom w:val="single" w:color="auto" w:sz="4" w:space="0"/>
              <w:right w:val="single" w:color="auto" w:sz="4" w:space="0"/>
            </w:tcBorders>
            <w:noWrap w:val="0"/>
            <w:vAlign w:val="center"/>
          </w:tcPr>
          <w:p w14:paraId="3B6D3AFA">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许玉才</w:t>
            </w:r>
          </w:p>
        </w:tc>
        <w:tc>
          <w:tcPr>
            <w:tcW w:w="3018" w:type="dxa"/>
            <w:tcBorders>
              <w:top w:val="single" w:color="auto" w:sz="4" w:space="0"/>
              <w:left w:val="single" w:color="auto" w:sz="4" w:space="0"/>
              <w:bottom w:val="single" w:color="auto" w:sz="4" w:space="0"/>
              <w:right w:val="single" w:color="auto" w:sz="4" w:space="0"/>
            </w:tcBorders>
            <w:noWrap w:val="0"/>
            <w:vAlign w:val="center"/>
          </w:tcPr>
          <w:p w14:paraId="709D9570">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1800000000200658</w:t>
            </w:r>
          </w:p>
        </w:tc>
        <w:tc>
          <w:tcPr>
            <w:tcW w:w="1564" w:type="dxa"/>
            <w:tcBorders>
              <w:top w:val="single" w:color="auto" w:sz="4" w:space="0"/>
              <w:left w:val="single" w:color="auto" w:sz="4" w:space="0"/>
              <w:bottom w:val="single" w:color="auto" w:sz="4" w:space="0"/>
              <w:right w:val="single" w:color="auto" w:sz="4" w:space="0"/>
            </w:tcBorders>
            <w:noWrap w:val="0"/>
            <w:vAlign w:val="center"/>
          </w:tcPr>
          <w:p w14:paraId="51B975F3">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033460</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4EDEC407">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r>
      <w:tr w14:paraId="58B6A9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exact"/>
          <w:jc w:val="center"/>
        </w:trPr>
        <w:tc>
          <w:tcPr>
            <w:tcW w:w="1947" w:type="dxa"/>
            <w:tcBorders>
              <w:top w:val="single" w:color="auto" w:sz="4" w:space="0"/>
              <w:left w:val="single" w:color="auto" w:sz="4" w:space="0"/>
              <w:bottom w:val="single" w:color="auto" w:sz="4" w:space="0"/>
              <w:right w:val="single" w:color="auto" w:sz="4" w:space="0"/>
            </w:tcBorders>
            <w:noWrap w:val="0"/>
            <w:vAlign w:val="center"/>
          </w:tcPr>
          <w:p w14:paraId="709C597E">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报告审核人</w:t>
            </w:r>
          </w:p>
        </w:tc>
        <w:tc>
          <w:tcPr>
            <w:tcW w:w="1290" w:type="dxa"/>
            <w:tcBorders>
              <w:top w:val="single" w:color="auto" w:sz="4" w:space="0"/>
              <w:left w:val="single" w:color="auto" w:sz="4" w:space="0"/>
              <w:bottom w:val="single" w:color="auto" w:sz="4" w:space="0"/>
              <w:right w:val="single" w:color="auto" w:sz="4" w:space="0"/>
            </w:tcBorders>
            <w:noWrap w:val="0"/>
            <w:vAlign w:val="center"/>
          </w:tcPr>
          <w:p w14:paraId="1CC7AC94">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lang w:val="en-US" w:eastAsia="zh-CN"/>
              </w:rPr>
            </w:pPr>
            <w:r>
              <w:rPr>
                <w:rFonts w:hint="eastAsia" w:cs="Times New Roman"/>
                <w:color w:val="auto"/>
                <w:sz w:val="24"/>
                <w:lang w:val="en-US" w:eastAsia="zh-CN"/>
              </w:rPr>
              <w:t>李强</w:t>
            </w:r>
          </w:p>
        </w:tc>
        <w:tc>
          <w:tcPr>
            <w:tcW w:w="3018" w:type="dxa"/>
            <w:tcBorders>
              <w:top w:val="single" w:color="auto" w:sz="4" w:space="0"/>
              <w:left w:val="single" w:color="auto" w:sz="4" w:space="0"/>
              <w:bottom w:val="single" w:color="auto" w:sz="4" w:space="0"/>
              <w:right w:val="single" w:color="auto" w:sz="4" w:space="0"/>
            </w:tcBorders>
            <w:noWrap w:val="0"/>
            <w:vAlign w:val="center"/>
          </w:tcPr>
          <w:p w14:paraId="50AB4F63">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cs="Times New Roman"/>
                <w:color w:val="auto"/>
                <w:sz w:val="24"/>
                <w:lang w:val="en-US" w:eastAsia="zh-CN"/>
              </w:rPr>
              <w:t>0800000000204055</w:t>
            </w:r>
          </w:p>
        </w:tc>
        <w:tc>
          <w:tcPr>
            <w:tcW w:w="1564" w:type="dxa"/>
            <w:tcBorders>
              <w:top w:val="single" w:color="auto" w:sz="4" w:space="0"/>
              <w:left w:val="single" w:color="auto" w:sz="4" w:space="0"/>
              <w:bottom w:val="single" w:color="auto" w:sz="4" w:space="0"/>
              <w:right w:val="single" w:color="auto" w:sz="4" w:space="0"/>
            </w:tcBorders>
            <w:noWrap w:val="0"/>
            <w:vAlign w:val="center"/>
          </w:tcPr>
          <w:p w14:paraId="286CC255">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lang w:val="en-US" w:eastAsia="zh-CN"/>
              </w:rPr>
            </w:pPr>
            <w:r>
              <w:rPr>
                <w:rFonts w:hint="eastAsia" w:cs="Times New Roman"/>
                <w:color w:val="auto"/>
                <w:sz w:val="24"/>
                <w:lang w:val="en-US" w:eastAsia="zh-CN"/>
              </w:rPr>
              <w:t>007079</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79007A28">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r>
      <w:tr w14:paraId="4828EF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exact"/>
          <w:jc w:val="center"/>
        </w:trPr>
        <w:tc>
          <w:tcPr>
            <w:tcW w:w="1947" w:type="dxa"/>
            <w:tcBorders>
              <w:top w:val="single" w:color="auto" w:sz="4" w:space="0"/>
              <w:left w:val="single" w:color="auto" w:sz="4" w:space="0"/>
              <w:bottom w:val="single" w:color="auto" w:sz="4" w:space="0"/>
              <w:right w:val="single" w:color="auto" w:sz="4" w:space="0"/>
            </w:tcBorders>
            <w:noWrap w:val="0"/>
            <w:vAlign w:val="center"/>
          </w:tcPr>
          <w:p w14:paraId="7D86BF6F">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rPr>
              <w:t>过程控制负责</w:t>
            </w:r>
            <w:r>
              <w:rPr>
                <w:rFonts w:hint="eastAsia" w:ascii="Times New Roman" w:hAnsi="Times New Roman" w:cs="Times New Roman"/>
                <w:color w:val="auto"/>
                <w:sz w:val="24"/>
                <w:lang w:val="en-US" w:eastAsia="zh-CN"/>
              </w:rPr>
              <w:t>人</w:t>
            </w:r>
          </w:p>
        </w:tc>
        <w:tc>
          <w:tcPr>
            <w:tcW w:w="1290" w:type="dxa"/>
            <w:tcBorders>
              <w:top w:val="single" w:color="auto" w:sz="4" w:space="0"/>
              <w:left w:val="single" w:color="auto" w:sz="4" w:space="0"/>
              <w:bottom w:val="single" w:color="auto" w:sz="4" w:space="0"/>
              <w:right w:val="single" w:color="auto" w:sz="4" w:space="0"/>
            </w:tcBorders>
            <w:noWrap w:val="0"/>
            <w:vAlign w:val="center"/>
          </w:tcPr>
          <w:p w14:paraId="1C1F6C0F">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檀廷斌</w:t>
            </w:r>
          </w:p>
        </w:tc>
        <w:tc>
          <w:tcPr>
            <w:tcW w:w="3018" w:type="dxa"/>
            <w:tcBorders>
              <w:top w:val="single" w:color="auto" w:sz="4" w:space="0"/>
              <w:left w:val="single" w:color="auto" w:sz="4" w:space="0"/>
              <w:bottom w:val="single" w:color="auto" w:sz="4" w:space="0"/>
              <w:right w:val="single" w:color="auto" w:sz="4" w:space="0"/>
            </w:tcBorders>
            <w:noWrap w:val="0"/>
            <w:vAlign w:val="center"/>
          </w:tcPr>
          <w:p w14:paraId="250DB476">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1600000000200717</w:t>
            </w:r>
          </w:p>
        </w:tc>
        <w:tc>
          <w:tcPr>
            <w:tcW w:w="1564" w:type="dxa"/>
            <w:tcBorders>
              <w:top w:val="single" w:color="auto" w:sz="4" w:space="0"/>
              <w:left w:val="single" w:color="auto" w:sz="4" w:space="0"/>
              <w:bottom w:val="single" w:color="auto" w:sz="4" w:space="0"/>
              <w:right w:val="single" w:color="auto" w:sz="4" w:space="0"/>
            </w:tcBorders>
            <w:noWrap w:val="0"/>
            <w:vAlign w:val="center"/>
          </w:tcPr>
          <w:p w14:paraId="38C7C0E6">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029648</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58CD7EAE">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r>
      <w:tr w14:paraId="6ECBBD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 w:hRule="exact"/>
          <w:jc w:val="center"/>
        </w:trPr>
        <w:tc>
          <w:tcPr>
            <w:tcW w:w="1947" w:type="dxa"/>
            <w:tcBorders>
              <w:top w:val="single" w:color="auto" w:sz="4" w:space="0"/>
              <w:left w:val="single" w:color="auto" w:sz="4" w:space="0"/>
              <w:bottom w:val="single" w:color="auto" w:sz="4" w:space="0"/>
              <w:right w:val="single" w:color="auto" w:sz="4" w:space="0"/>
            </w:tcBorders>
            <w:noWrap w:val="0"/>
            <w:vAlign w:val="center"/>
          </w:tcPr>
          <w:p w14:paraId="74BC25AE">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技术负责人</w:t>
            </w:r>
          </w:p>
        </w:tc>
        <w:tc>
          <w:tcPr>
            <w:tcW w:w="1290" w:type="dxa"/>
            <w:tcBorders>
              <w:top w:val="single" w:color="auto" w:sz="4" w:space="0"/>
              <w:left w:val="single" w:color="auto" w:sz="4" w:space="0"/>
              <w:bottom w:val="single" w:color="auto" w:sz="4" w:space="0"/>
              <w:right w:val="single" w:color="auto" w:sz="4" w:space="0"/>
            </w:tcBorders>
            <w:noWrap w:val="0"/>
            <w:vAlign w:val="center"/>
          </w:tcPr>
          <w:p w14:paraId="0F957522">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管自强</w:t>
            </w:r>
          </w:p>
        </w:tc>
        <w:tc>
          <w:tcPr>
            <w:tcW w:w="3018" w:type="dxa"/>
            <w:tcBorders>
              <w:top w:val="single" w:color="auto" w:sz="4" w:space="0"/>
              <w:left w:val="single" w:color="auto" w:sz="4" w:space="0"/>
              <w:bottom w:val="single" w:color="auto" w:sz="4" w:space="0"/>
              <w:right w:val="single" w:color="auto" w:sz="4" w:space="0"/>
            </w:tcBorders>
            <w:noWrap w:val="0"/>
            <w:vAlign w:val="center"/>
          </w:tcPr>
          <w:p w14:paraId="097CFA80">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S011035000110191000614</w:t>
            </w:r>
          </w:p>
        </w:tc>
        <w:tc>
          <w:tcPr>
            <w:tcW w:w="1564" w:type="dxa"/>
            <w:tcBorders>
              <w:top w:val="single" w:color="auto" w:sz="4" w:space="0"/>
              <w:left w:val="single" w:color="auto" w:sz="4" w:space="0"/>
              <w:bottom w:val="single" w:color="auto" w:sz="4" w:space="0"/>
              <w:right w:val="single" w:color="auto" w:sz="4" w:space="0"/>
            </w:tcBorders>
            <w:noWrap w:val="0"/>
            <w:vAlign w:val="center"/>
          </w:tcPr>
          <w:p w14:paraId="003D801D">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020516</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0FBCF6FB">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r>
    </w:tbl>
    <w:p w14:paraId="67522D7E">
      <w:pPr>
        <w:bidi w:val="0"/>
        <w:rPr>
          <w:color w:val="auto"/>
        </w:rPr>
      </w:pPr>
    </w:p>
    <w:p w14:paraId="71D1C154">
      <w:pPr>
        <w:bidi w:val="0"/>
        <w:rPr>
          <w:color w:val="auto"/>
        </w:rPr>
      </w:pPr>
    </w:p>
    <w:p w14:paraId="2401C47E">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
          <w:bCs/>
          <w:color w:val="auto"/>
          <w:sz w:val="32"/>
          <w:szCs w:val="32"/>
        </w:rPr>
      </w:pPr>
      <w:r>
        <w:rPr>
          <w:rFonts w:ascii="宋体" w:hAnsi="宋体"/>
          <w:color w:val="auto"/>
          <w:sz w:val="28"/>
          <w:szCs w:val="28"/>
        </w:rPr>
        <w:br w:type="page"/>
      </w:r>
      <w:r>
        <w:rPr>
          <w:rFonts w:hint="eastAsia" w:ascii="黑体" w:hAnsi="黑体" w:eastAsia="黑体" w:cs="黑体"/>
          <w:b/>
          <w:bCs/>
          <w:color w:val="auto"/>
          <w:sz w:val="32"/>
          <w:szCs w:val="32"/>
        </w:rPr>
        <w:t>前    言</w:t>
      </w:r>
    </w:p>
    <w:p w14:paraId="3DE16A6E">
      <w:pPr>
        <w:bidi w:val="0"/>
        <w:rPr>
          <w:rFonts w:hint="eastAsia"/>
          <w:color w:val="auto"/>
        </w:rPr>
      </w:pPr>
      <w:r>
        <w:rPr>
          <w:rFonts w:hint="eastAsia"/>
          <w:color w:val="auto"/>
        </w:rPr>
        <w:t>江西省坤育矿业有限公司成立于2017年9月14日</w:t>
      </w:r>
      <w:r>
        <w:rPr>
          <w:rFonts w:hint="eastAsia"/>
          <w:color w:val="auto"/>
          <w:lang w:eastAsia="zh-CN"/>
        </w:rPr>
        <w:t>，</w:t>
      </w:r>
      <w:r>
        <w:rPr>
          <w:rFonts w:hint="eastAsia"/>
          <w:color w:val="auto"/>
        </w:rPr>
        <w:t>公司</w:t>
      </w:r>
      <w:r>
        <w:rPr>
          <w:rFonts w:hint="eastAsia"/>
          <w:color w:val="auto"/>
          <w:lang w:val="en-US" w:eastAsia="zh-CN"/>
        </w:rPr>
        <w:t>类型</w:t>
      </w:r>
      <w:r>
        <w:rPr>
          <w:rFonts w:hint="eastAsia"/>
          <w:color w:val="auto"/>
          <w:lang w:eastAsia="zh-CN"/>
        </w:rPr>
        <w:t>：</w:t>
      </w:r>
      <w:r>
        <w:rPr>
          <w:rFonts w:hint="eastAsia"/>
          <w:color w:val="auto"/>
        </w:rPr>
        <w:t>有限责任公司</w:t>
      </w:r>
      <w:r>
        <w:rPr>
          <w:rFonts w:hint="eastAsia"/>
          <w:color w:val="auto"/>
          <w:lang w:eastAsia="zh-CN"/>
        </w:rPr>
        <w:t>（</w:t>
      </w:r>
      <w:r>
        <w:rPr>
          <w:rFonts w:hint="eastAsia"/>
          <w:color w:val="auto"/>
        </w:rPr>
        <w:t>自然人投资或控股</w:t>
      </w:r>
      <w:r>
        <w:rPr>
          <w:rFonts w:hint="eastAsia"/>
          <w:color w:val="auto"/>
          <w:lang w:eastAsia="zh-CN"/>
        </w:rPr>
        <w:t>）</w:t>
      </w:r>
      <w:r>
        <w:rPr>
          <w:rFonts w:hint="eastAsia"/>
          <w:color w:val="auto"/>
        </w:rPr>
        <w:t>，统一社会信用代码</w:t>
      </w:r>
      <w:r>
        <w:rPr>
          <w:rFonts w:hint="eastAsia"/>
          <w:color w:val="auto"/>
          <w:lang w:eastAsia="zh-CN"/>
        </w:rPr>
        <w:t>：</w:t>
      </w:r>
      <w:r>
        <w:rPr>
          <w:rFonts w:hint="eastAsia"/>
          <w:color w:val="auto"/>
        </w:rPr>
        <w:t>91360426MA369CBQ2R</w:t>
      </w:r>
      <w:r>
        <w:rPr>
          <w:rFonts w:hint="eastAsia"/>
          <w:color w:val="auto"/>
          <w:lang w:eastAsia="zh-CN"/>
        </w:rPr>
        <w:t>，</w:t>
      </w:r>
      <w:r>
        <w:rPr>
          <w:rFonts w:hint="eastAsia"/>
          <w:color w:val="auto"/>
        </w:rPr>
        <w:t>经营范围为</w:t>
      </w:r>
      <w:r>
        <w:rPr>
          <w:rFonts w:hint="eastAsia"/>
          <w:color w:val="auto"/>
          <w:lang w:eastAsia="zh-CN"/>
        </w:rPr>
        <w:t>：</w:t>
      </w:r>
      <w:r>
        <w:rPr>
          <w:rFonts w:hint="eastAsia"/>
          <w:color w:val="auto"/>
        </w:rPr>
        <w:t>石灰石、石膏开采</w:t>
      </w:r>
      <w:r>
        <w:rPr>
          <w:rFonts w:hint="eastAsia"/>
          <w:color w:val="auto"/>
          <w:lang w:eastAsia="zh-CN"/>
        </w:rPr>
        <w:t>；</w:t>
      </w:r>
      <w:r>
        <w:rPr>
          <w:rFonts w:hint="eastAsia"/>
          <w:color w:val="auto"/>
        </w:rPr>
        <w:t>建筑装饰用石开采</w:t>
      </w:r>
      <w:r>
        <w:rPr>
          <w:rFonts w:hint="eastAsia"/>
          <w:color w:val="auto"/>
          <w:lang w:eastAsia="zh-CN"/>
        </w:rPr>
        <w:t>；</w:t>
      </w:r>
      <w:r>
        <w:rPr>
          <w:rFonts w:hint="eastAsia"/>
          <w:color w:val="auto"/>
        </w:rPr>
        <w:t>粘土及其他土砂石开采、加工、销售</w:t>
      </w:r>
      <w:r>
        <w:rPr>
          <w:rFonts w:hint="eastAsia"/>
          <w:color w:val="auto"/>
          <w:lang w:eastAsia="zh-CN"/>
        </w:rPr>
        <w:t>；</w:t>
      </w:r>
      <w:r>
        <w:rPr>
          <w:rFonts w:hint="eastAsia"/>
          <w:color w:val="auto"/>
        </w:rPr>
        <w:t>建筑工程机械与设备租赁</w:t>
      </w:r>
      <w:r>
        <w:rPr>
          <w:rFonts w:hint="eastAsia"/>
          <w:color w:val="auto"/>
          <w:lang w:eastAsia="zh-CN"/>
        </w:rPr>
        <w:t>（</w:t>
      </w:r>
      <w:r>
        <w:rPr>
          <w:rFonts w:hint="eastAsia"/>
          <w:color w:val="auto"/>
        </w:rPr>
        <w:t>依法须经批准的项目</w:t>
      </w:r>
      <w:r>
        <w:rPr>
          <w:rFonts w:hint="eastAsia"/>
          <w:color w:val="auto"/>
          <w:lang w:eastAsia="zh-CN"/>
        </w:rPr>
        <w:t>，</w:t>
      </w:r>
      <w:r>
        <w:rPr>
          <w:rFonts w:hint="eastAsia"/>
          <w:color w:val="auto"/>
        </w:rPr>
        <w:t>经相关部门批准后方可开展经营活动</w:t>
      </w:r>
      <w:r>
        <w:rPr>
          <w:rFonts w:hint="eastAsia"/>
          <w:color w:val="auto"/>
          <w:lang w:eastAsia="zh-CN"/>
        </w:rPr>
        <w:t>）</w:t>
      </w:r>
      <w:r>
        <w:rPr>
          <w:rFonts w:hint="eastAsia"/>
          <w:color w:val="auto"/>
        </w:rPr>
        <w:t>。</w:t>
      </w:r>
    </w:p>
    <w:p w14:paraId="55837833">
      <w:pPr>
        <w:bidi w:val="0"/>
        <w:rPr>
          <w:rFonts w:hint="eastAsia"/>
          <w:color w:val="auto"/>
        </w:rPr>
      </w:pPr>
      <w:r>
        <w:rPr>
          <w:rFonts w:hint="eastAsia"/>
          <w:color w:val="auto"/>
        </w:rPr>
        <w:t>德安县聂桥镇刘家山矿区建筑用辉绿岩矿位于德安县城北29km处，矿区中心点地理坐标</w:t>
      </w:r>
      <w:r>
        <w:rPr>
          <w:rFonts w:hint="eastAsia"/>
          <w:color w:val="auto"/>
          <w:lang w:eastAsia="zh-CN"/>
        </w:rPr>
        <w:t>：</w:t>
      </w:r>
      <w:r>
        <w:rPr>
          <w:rFonts w:hint="eastAsia"/>
          <w:color w:val="auto"/>
        </w:rPr>
        <w:t>东经115°40</w:t>
      </w:r>
      <w:r>
        <w:rPr>
          <w:rFonts w:hint="eastAsia" w:ascii="宋体" w:hAnsi="宋体" w:eastAsia="宋体" w:cs="宋体"/>
          <w:color w:val="auto"/>
          <w:lang w:val="en-US" w:eastAsia="zh-CN"/>
        </w:rPr>
        <w:t>′</w:t>
      </w:r>
      <w:r>
        <w:rPr>
          <w:rFonts w:hint="eastAsia"/>
          <w:color w:val="auto"/>
        </w:rPr>
        <w:t>26</w:t>
      </w:r>
      <w:r>
        <w:rPr>
          <w:rFonts w:hint="eastAsia" w:ascii="宋体" w:hAnsi="宋体" w:eastAsia="宋体" w:cs="宋体"/>
          <w:color w:val="auto"/>
          <w:lang w:val="en-US" w:eastAsia="zh-CN"/>
        </w:rPr>
        <w:t>″</w:t>
      </w:r>
      <w:r>
        <w:rPr>
          <w:rFonts w:hint="eastAsia"/>
          <w:color w:val="auto"/>
        </w:rPr>
        <w:t>，北纬29°25</w:t>
      </w:r>
      <w:r>
        <w:rPr>
          <w:rFonts w:hint="eastAsia" w:ascii="宋体" w:hAnsi="宋体" w:eastAsia="宋体" w:cs="宋体"/>
          <w:color w:val="auto"/>
          <w:lang w:val="en-US" w:eastAsia="zh-CN"/>
        </w:rPr>
        <w:t>′</w:t>
      </w:r>
      <w:r>
        <w:rPr>
          <w:rFonts w:hint="eastAsia"/>
          <w:color w:val="auto"/>
        </w:rPr>
        <w:t>29</w:t>
      </w:r>
      <w:r>
        <w:rPr>
          <w:rFonts w:hint="eastAsia" w:ascii="宋体" w:hAnsi="宋体" w:eastAsia="宋体" w:cs="宋体"/>
          <w:color w:val="auto"/>
          <w:lang w:val="en-US" w:eastAsia="zh-CN"/>
        </w:rPr>
        <w:t>″</w:t>
      </w:r>
      <w:r>
        <w:rPr>
          <w:rFonts w:hint="eastAsia"/>
          <w:color w:val="auto"/>
        </w:rPr>
        <w:t>。矿区有水泥路与S316省道相连，与周边乡镇皆有公路联通，矿区有乡村公路接通至聂桥镇，与德安至白水公路相通，交通方便快捷。</w:t>
      </w:r>
    </w:p>
    <w:p w14:paraId="7918AF08">
      <w:pPr>
        <w:bidi w:val="0"/>
        <w:rPr>
          <w:rFonts w:hint="eastAsia"/>
          <w:color w:val="auto"/>
        </w:rPr>
      </w:pPr>
      <w:r>
        <w:rPr>
          <w:rFonts w:hint="eastAsia"/>
          <w:color w:val="auto"/>
        </w:rPr>
        <w:t>2018年9月，江西省坤育矿业有限公司委托山东省冶金设计院股份有限公司编制了《江西省坤育矿业有限公司德安县聂桥镇刘家山矿区建筑用辉绿岩矿露天开采Ⅰ期工程安全设施设计》，</w:t>
      </w:r>
      <w:r>
        <w:rPr>
          <w:rFonts w:hint="eastAsia"/>
          <w:color w:val="auto"/>
          <w:lang w:val="en-US" w:eastAsia="zh-CN"/>
        </w:rPr>
        <w:t>原</w:t>
      </w:r>
      <w:r>
        <w:rPr>
          <w:rFonts w:hint="eastAsia"/>
          <w:color w:val="auto"/>
        </w:rPr>
        <w:t>九江市安监局组织专家对报告进行了审查，报告通过了评审并获得了批复（九安监管一字</w:t>
      </w:r>
      <w:r>
        <w:rPr>
          <w:rFonts w:hint="eastAsia" w:ascii="宋体" w:hAnsi="宋体" w:eastAsia="宋体" w:cs="宋体"/>
          <w:color w:val="auto"/>
        </w:rPr>
        <w:t>[</w:t>
      </w:r>
      <w:r>
        <w:rPr>
          <w:rFonts w:hint="eastAsia"/>
          <w:color w:val="auto"/>
        </w:rPr>
        <w:t>2018</w:t>
      </w:r>
      <w:r>
        <w:rPr>
          <w:rFonts w:hint="eastAsia" w:ascii="宋体" w:hAnsi="宋体" w:eastAsia="宋体" w:cs="宋体"/>
          <w:color w:val="auto"/>
        </w:rPr>
        <w:t>]</w:t>
      </w:r>
      <w:r>
        <w:rPr>
          <w:rFonts w:hint="eastAsia"/>
          <w:color w:val="auto"/>
        </w:rPr>
        <w:t>30号）。设计矿山采用公路开拓，汽车运输，按自上而下分台阶开采，设计台阶高度13m，台阶坡面角65°</w:t>
      </w:r>
      <w:r>
        <w:rPr>
          <w:rFonts w:hint="eastAsia"/>
          <w:color w:val="auto"/>
          <w:lang w:eastAsia="zh-CN"/>
        </w:rPr>
        <w:t>，</w:t>
      </w:r>
      <w:r>
        <w:rPr>
          <w:rFonts w:hint="eastAsia"/>
          <w:color w:val="auto"/>
        </w:rPr>
        <w:t>安全平台宽度5m</w:t>
      </w:r>
      <w:r>
        <w:rPr>
          <w:rFonts w:hint="eastAsia"/>
          <w:color w:val="auto"/>
          <w:lang w:eastAsia="zh-CN"/>
        </w:rPr>
        <w:t>，</w:t>
      </w:r>
      <w:r>
        <w:rPr>
          <w:rFonts w:hint="eastAsia"/>
          <w:color w:val="auto"/>
        </w:rPr>
        <w:t>清扫平台宽度7m，最高开采标高+380m，最低标高+195m</w:t>
      </w:r>
      <w:r>
        <w:rPr>
          <w:rFonts w:hint="eastAsia"/>
          <w:color w:val="auto"/>
          <w:lang w:eastAsia="zh-CN"/>
        </w:rPr>
        <w:t>，</w:t>
      </w:r>
      <w:r>
        <w:rPr>
          <w:rFonts w:hint="eastAsia"/>
          <w:color w:val="auto"/>
        </w:rPr>
        <w:t>生产规模200万t/年。</w:t>
      </w:r>
    </w:p>
    <w:p w14:paraId="745ED479">
      <w:pPr>
        <w:bidi w:val="0"/>
        <w:rPr>
          <w:rFonts w:hint="eastAsia"/>
          <w:color w:val="auto"/>
        </w:rPr>
      </w:pPr>
      <w:r>
        <w:rPr>
          <w:rFonts w:hint="eastAsia"/>
          <w:color w:val="auto"/>
        </w:rPr>
        <w:t>江西省坤育矿业有限公司德安县聂桥镇刘家山矿区建筑用辉绿岩矿于20</w:t>
      </w:r>
      <w:r>
        <w:rPr>
          <w:rFonts w:hint="eastAsia"/>
          <w:color w:val="auto"/>
          <w:lang w:val="en-US" w:eastAsia="zh-CN"/>
        </w:rPr>
        <w:t>22</w:t>
      </w:r>
      <w:r>
        <w:rPr>
          <w:rFonts w:hint="eastAsia"/>
          <w:color w:val="auto"/>
        </w:rPr>
        <w:t>年</w:t>
      </w:r>
      <w:r>
        <w:rPr>
          <w:rFonts w:hint="eastAsia"/>
          <w:color w:val="auto"/>
          <w:lang w:val="en-US" w:eastAsia="zh-CN"/>
        </w:rPr>
        <w:t>11</w:t>
      </w:r>
      <w:r>
        <w:rPr>
          <w:rFonts w:hint="eastAsia"/>
          <w:color w:val="auto"/>
        </w:rPr>
        <w:t>月</w:t>
      </w:r>
      <w:r>
        <w:rPr>
          <w:rFonts w:hint="eastAsia"/>
          <w:color w:val="auto"/>
          <w:lang w:val="en-US" w:eastAsia="zh-CN"/>
        </w:rPr>
        <w:t>1</w:t>
      </w:r>
      <w:r>
        <w:rPr>
          <w:rFonts w:hint="eastAsia"/>
          <w:color w:val="auto"/>
        </w:rPr>
        <w:t>日延期获得</w:t>
      </w:r>
      <w:r>
        <w:rPr>
          <w:rFonts w:hint="eastAsia"/>
          <w:color w:val="auto"/>
          <w:lang w:val="en-US" w:eastAsia="zh-CN"/>
        </w:rPr>
        <w:t>了九江市行政审批局颁发的</w:t>
      </w:r>
      <w:r>
        <w:rPr>
          <w:rFonts w:hint="eastAsia"/>
          <w:color w:val="auto"/>
        </w:rPr>
        <w:t>安全生产许可证</w:t>
      </w:r>
      <w:r>
        <w:rPr>
          <w:rFonts w:hAnsi="宋体"/>
          <w:bCs/>
          <w:color w:val="auto"/>
          <w:sz w:val="28"/>
          <w:szCs w:val="28"/>
        </w:rPr>
        <w:t>，安全生产许可证编号</w:t>
      </w:r>
      <w:r>
        <w:rPr>
          <w:rFonts w:hint="eastAsia" w:hAnsi="宋体"/>
          <w:bCs/>
          <w:color w:val="auto"/>
          <w:sz w:val="28"/>
          <w:szCs w:val="28"/>
          <w:lang w:eastAsia="zh-CN"/>
        </w:rPr>
        <w:t>：</w:t>
      </w:r>
      <w:r>
        <w:rPr>
          <w:rFonts w:hAnsi="宋体"/>
          <w:bCs/>
          <w:color w:val="auto"/>
          <w:sz w:val="28"/>
          <w:szCs w:val="28"/>
        </w:rPr>
        <w:t>（赣）</w:t>
      </w:r>
      <w:r>
        <w:rPr>
          <w:bCs/>
          <w:color w:val="auto"/>
          <w:sz w:val="28"/>
          <w:szCs w:val="28"/>
        </w:rPr>
        <w:t>FM</w:t>
      </w:r>
      <w:r>
        <w:rPr>
          <w:rFonts w:hAnsi="宋体"/>
          <w:bCs/>
          <w:color w:val="auto"/>
          <w:sz w:val="28"/>
          <w:szCs w:val="28"/>
        </w:rPr>
        <w:t>安许证字</w:t>
      </w:r>
      <w:r>
        <w:rPr>
          <w:rFonts w:hint="eastAsia" w:ascii="宋体" w:hAnsi="宋体" w:eastAsia="宋体" w:cs="宋体"/>
          <w:bCs/>
          <w:color w:val="auto"/>
          <w:sz w:val="28"/>
          <w:szCs w:val="28"/>
        </w:rPr>
        <w:t>[</w:t>
      </w:r>
      <w:r>
        <w:rPr>
          <w:bCs/>
          <w:color w:val="auto"/>
          <w:sz w:val="28"/>
          <w:szCs w:val="28"/>
        </w:rPr>
        <w:t>20</w:t>
      </w:r>
      <w:r>
        <w:rPr>
          <w:rFonts w:hint="eastAsia"/>
          <w:bCs/>
          <w:color w:val="auto"/>
          <w:sz w:val="28"/>
          <w:szCs w:val="28"/>
          <w:lang w:val="en-US" w:eastAsia="zh-CN"/>
        </w:rPr>
        <w:t>22</w:t>
      </w:r>
      <w:r>
        <w:rPr>
          <w:rFonts w:hint="eastAsia" w:ascii="宋体" w:hAnsi="宋体" w:eastAsia="宋体" w:cs="宋体"/>
          <w:bCs/>
          <w:color w:val="auto"/>
          <w:sz w:val="28"/>
          <w:szCs w:val="28"/>
        </w:rPr>
        <w:t>]</w:t>
      </w:r>
      <w:r>
        <w:rPr>
          <w:rFonts w:hint="eastAsia"/>
          <w:bCs/>
          <w:color w:val="auto"/>
          <w:sz w:val="28"/>
          <w:szCs w:val="28"/>
          <w:lang w:val="en-US" w:eastAsia="zh-CN"/>
        </w:rPr>
        <w:t>GF041</w:t>
      </w:r>
      <w:r>
        <w:rPr>
          <w:rFonts w:hAnsi="宋体"/>
          <w:bCs/>
          <w:color w:val="auto"/>
          <w:sz w:val="28"/>
          <w:szCs w:val="28"/>
        </w:rPr>
        <w:t>号</w:t>
      </w:r>
      <w:r>
        <w:rPr>
          <w:rFonts w:hint="eastAsia"/>
          <w:color w:val="auto"/>
          <w:lang w:eastAsia="zh-CN"/>
        </w:rPr>
        <w:t>，有效期至202</w:t>
      </w:r>
      <w:r>
        <w:rPr>
          <w:rFonts w:hint="eastAsia"/>
          <w:color w:val="auto"/>
          <w:lang w:val="en-US" w:eastAsia="zh-CN"/>
        </w:rPr>
        <w:t>5</w:t>
      </w:r>
      <w:r>
        <w:rPr>
          <w:rFonts w:hint="eastAsia"/>
          <w:color w:val="auto"/>
          <w:lang w:eastAsia="zh-CN"/>
        </w:rPr>
        <w:t>年</w:t>
      </w:r>
      <w:r>
        <w:rPr>
          <w:rFonts w:hint="eastAsia"/>
          <w:color w:val="auto"/>
          <w:lang w:val="en-US" w:eastAsia="zh-CN"/>
        </w:rPr>
        <w:t>11</w:t>
      </w:r>
      <w:r>
        <w:rPr>
          <w:rFonts w:hint="eastAsia"/>
          <w:color w:val="auto"/>
          <w:lang w:eastAsia="zh-CN"/>
        </w:rPr>
        <w:t>月1</w:t>
      </w:r>
      <w:r>
        <w:rPr>
          <w:rFonts w:hint="eastAsia"/>
          <w:color w:val="auto"/>
          <w:lang w:val="en-US" w:eastAsia="zh-CN"/>
        </w:rPr>
        <w:t>1</w:t>
      </w:r>
      <w:r>
        <w:rPr>
          <w:rFonts w:hint="eastAsia"/>
          <w:color w:val="auto"/>
          <w:lang w:eastAsia="zh-CN"/>
        </w:rPr>
        <w:t>日</w:t>
      </w:r>
      <w:r>
        <w:rPr>
          <w:rFonts w:hint="eastAsia"/>
          <w:color w:val="auto"/>
        </w:rPr>
        <w:t>。2023年9月4日获得了安全生产标准化三级延期。（详见九江市应急管理局网站《关于江西省坤育矿业有限公司等4家企业拟通过三级安全生产标准化延期（直接定级）的公示》）</w:t>
      </w:r>
    </w:p>
    <w:p w14:paraId="6F05AE43">
      <w:pPr>
        <w:bidi w:val="0"/>
        <w:rPr>
          <w:rFonts w:hint="eastAsia"/>
          <w:color w:val="auto"/>
        </w:rPr>
      </w:pPr>
      <w:r>
        <w:rPr>
          <w:rFonts w:hint="eastAsia"/>
          <w:color w:val="auto"/>
        </w:rPr>
        <w:t>根据《中华人民共和国安全生产法》、《安全生产许可证条例》和《江西省非煤矿矿山企业安全生产许可证实施办法》等有关规定，为进一步加强非煤矿山安全生产监督管理，对取得非煤矿山安全生产许可证即将到期的采矿生产企业，延期换证前应进行安全现状评价。受江西省坤育矿业有限公司的委托，江西赣安安全生产科学技术咨询服务中心承担了德安县聂桥镇刘家山矿区建筑用辉绿岩矿露天开采</w:t>
      </w:r>
      <w:r>
        <w:rPr>
          <w:rFonts w:hint="eastAsia"/>
          <w:color w:val="auto"/>
          <w:lang w:val="en-US" w:eastAsia="zh-CN"/>
        </w:rPr>
        <w:t>工程</w:t>
      </w:r>
      <w:r>
        <w:rPr>
          <w:rFonts w:hint="eastAsia"/>
          <w:color w:val="auto"/>
        </w:rPr>
        <w:t>安全现状评价工作。</w:t>
      </w:r>
    </w:p>
    <w:p w14:paraId="65312186">
      <w:pPr>
        <w:bidi w:val="0"/>
        <w:rPr>
          <w:rFonts w:hint="eastAsia"/>
          <w:color w:val="auto"/>
        </w:rPr>
      </w:pPr>
      <w:r>
        <w:rPr>
          <w:rFonts w:hint="eastAsia"/>
          <w:color w:val="auto"/>
        </w:rPr>
        <w:t>按照《安全评价通则》的要求，我中心评价专家组于202</w:t>
      </w:r>
      <w:r>
        <w:rPr>
          <w:rFonts w:hint="eastAsia"/>
          <w:color w:val="auto"/>
          <w:lang w:val="en-US" w:eastAsia="zh-CN"/>
        </w:rPr>
        <w:t>5</w:t>
      </w:r>
      <w:r>
        <w:rPr>
          <w:rFonts w:hint="eastAsia"/>
          <w:color w:val="auto"/>
        </w:rPr>
        <w:t>年</w:t>
      </w:r>
      <w:r>
        <w:rPr>
          <w:rFonts w:hint="eastAsia"/>
          <w:color w:val="auto"/>
          <w:lang w:val="en-US" w:eastAsia="zh-CN"/>
        </w:rPr>
        <w:t>7</w:t>
      </w:r>
      <w:r>
        <w:rPr>
          <w:rFonts w:hint="eastAsia"/>
          <w:color w:val="auto"/>
        </w:rPr>
        <w:t>月</w:t>
      </w:r>
      <w:r>
        <w:rPr>
          <w:rFonts w:hint="eastAsia"/>
          <w:color w:val="auto"/>
          <w:lang w:val="en-US" w:eastAsia="zh-CN"/>
        </w:rPr>
        <w:t>21</w:t>
      </w:r>
      <w:r>
        <w:rPr>
          <w:rFonts w:hint="eastAsia"/>
          <w:color w:val="auto"/>
        </w:rPr>
        <w:t>日</w:t>
      </w:r>
      <w:r>
        <w:rPr>
          <w:rFonts w:hint="eastAsia"/>
          <w:color w:val="auto"/>
          <w:lang w:eastAsia="zh-CN"/>
        </w:rPr>
        <w:t>、</w:t>
      </w:r>
      <w:r>
        <w:rPr>
          <w:rFonts w:hint="eastAsia"/>
          <w:color w:val="auto"/>
          <w:lang w:val="en-US" w:eastAsia="zh-CN"/>
        </w:rPr>
        <w:t>8月15日</w:t>
      </w:r>
      <w:r>
        <w:rPr>
          <w:rFonts w:hint="eastAsia"/>
          <w:color w:val="auto"/>
        </w:rPr>
        <w:t>对该矿进行现场调研，收集有关法律法规、技术标准、矿山设计资料、安全技术与安全管理措施资料和矿山现状资料。根据该矿的生产工艺特点和环境条件，针对矿山生产运行过程中设备、设施、安全装置实际情况和管理状况的调查分析，定性、定量地分析其生产过程中存在的危险、有害因素，确定其危险度，对其安全生产现状况作出客观的评价，对存在的问题提出合理可行的安全对策措施及建议，在此基础上编制本评价报告，作为企业取得安全生产许可证延期换证的技术依据之一。</w:t>
      </w:r>
    </w:p>
    <w:p w14:paraId="3359B65E">
      <w:pPr>
        <w:bidi w:val="0"/>
        <w:rPr>
          <w:rFonts w:hint="eastAsia"/>
          <w:color w:val="auto"/>
        </w:rPr>
      </w:pPr>
      <w:r>
        <w:rPr>
          <w:rFonts w:hint="eastAsia"/>
          <w:color w:val="auto"/>
        </w:rPr>
        <w:t>在评价过程中得到了江西省坤育矿业有限公司领导、安全生产管理人员及员工的大力支持，在此表示感谢！</w:t>
      </w:r>
    </w:p>
    <w:p w14:paraId="1D198B1E">
      <w:pPr>
        <w:bidi w:val="0"/>
        <w:rPr>
          <w:rFonts w:hint="eastAsia"/>
          <w:color w:val="auto"/>
        </w:rPr>
      </w:pPr>
    </w:p>
    <w:p w14:paraId="73F468FC">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rPr>
      </w:pPr>
      <w:r>
        <w:rPr>
          <w:color w:val="auto"/>
        </w:rPr>
        <w:br w:type="page"/>
      </w:r>
    </w:p>
    <w:p w14:paraId="215C7C02">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
          <w:bCs/>
          <w:color w:val="auto"/>
          <w:sz w:val="32"/>
          <w:szCs w:val="32"/>
          <w:lang w:val="en-US" w:eastAsia="zh-CN"/>
        </w:rPr>
      </w:pPr>
      <w:r>
        <w:rPr>
          <w:rFonts w:hint="eastAsia" w:ascii="黑体" w:hAnsi="黑体" w:eastAsia="黑体" w:cs="黑体"/>
          <w:b/>
          <w:bCs/>
          <w:color w:val="auto"/>
          <w:sz w:val="32"/>
          <w:szCs w:val="32"/>
          <w:lang w:val="en-US" w:eastAsia="zh-CN"/>
        </w:rPr>
        <w:t>目    录</w:t>
      </w:r>
    </w:p>
    <w:p w14:paraId="2EDAFDED">
      <w:pPr>
        <w:pStyle w:val="13"/>
        <w:keepNext w:val="0"/>
        <w:keepLines w:val="0"/>
        <w:pageBreakBefore w:val="0"/>
        <w:widowControl w:val="0"/>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TOC \o "1-3" \h \u </w:instrText>
      </w:r>
      <w:r>
        <w:rPr>
          <w:rFonts w:hint="eastAsia"/>
          <w:color w:val="auto"/>
          <w:lang w:val="en-US" w:eastAsia="zh-CN"/>
        </w:rPr>
        <w:fldChar w:fldCharType="separate"/>
      </w:r>
      <w:r>
        <w:rPr>
          <w:rFonts w:hint="eastAsia"/>
          <w:color w:val="auto"/>
          <w:lang w:val="en-US" w:eastAsia="zh-CN"/>
        </w:rPr>
        <w:fldChar w:fldCharType="begin"/>
      </w:r>
      <w:r>
        <w:rPr>
          <w:rFonts w:hint="eastAsia"/>
          <w:color w:val="auto"/>
          <w:lang w:val="en-US" w:eastAsia="zh-CN"/>
        </w:rPr>
        <w:instrText xml:space="preserve"> HYPERLINK \l _Toc30359 </w:instrText>
      </w:r>
      <w:r>
        <w:rPr>
          <w:rFonts w:hint="eastAsia"/>
          <w:color w:val="auto"/>
          <w:lang w:val="en-US" w:eastAsia="zh-CN"/>
        </w:rPr>
        <w:fldChar w:fldCharType="separate"/>
      </w:r>
      <w:r>
        <w:rPr>
          <w:rFonts w:hint="eastAsia"/>
          <w:color w:val="auto"/>
        </w:rPr>
        <w:t xml:space="preserve">1. </w:t>
      </w:r>
      <w:r>
        <w:rPr>
          <w:rFonts w:hint="eastAsia"/>
          <w:color w:val="auto"/>
          <w:lang w:val="en-US" w:eastAsia="zh-CN"/>
        </w:rPr>
        <w:t>评价</w:t>
      </w:r>
      <w:r>
        <w:rPr>
          <w:rFonts w:hint="eastAsia"/>
          <w:color w:val="auto"/>
        </w:rPr>
        <w:t>概述</w:t>
      </w:r>
      <w:r>
        <w:rPr>
          <w:color w:val="auto"/>
        </w:rPr>
        <w:tab/>
      </w:r>
      <w:r>
        <w:rPr>
          <w:color w:val="auto"/>
        </w:rPr>
        <w:fldChar w:fldCharType="begin"/>
      </w:r>
      <w:r>
        <w:rPr>
          <w:color w:val="auto"/>
        </w:rPr>
        <w:instrText xml:space="preserve"> PAGEREF _Toc30359 \h </w:instrText>
      </w:r>
      <w:r>
        <w:rPr>
          <w:color w:val="auto"/>
        </w:rPr>
        <w:fldChar w:fldCharType="separate"/>
      </w:r>
      <w:r>
        <w:rPr>
          <w:color w:val="auto"/>
        </w:rPr>
        <w:t>1</w:t>
      </w:r>
      <w:r>
        <w:rPr>
          <w:color w:val="auto"/>
        </w:rPr>
        <w:fldChar w:fldCharType="end"/>
      </w:r>
      <w:r>
        <w:rPr>
          <w:rFonts w:hint="eastAsia"/>
          <w:color w:val="auto"/>
          <w:lang w:val="en-US" w:eastAsia="zh-CN"/>
        </w:rPr>
        <w:fldChar w:fldCharType="end"/>
      </w:r>
    </w:p>
    <w:p w14:paraId="6A8C86F6">
      <w:pPr>
        <w:pStyle w:val="14"/>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_Toc26891 </w:instrText>
      </w:r>
      <w:r>
        <w:rPr>
          <w:rFonts w:hint="eastAsia"/>
          <w:color w:val="auto"/>
          <w:lang w:val="en-US" w:eastAsia="zh-CN"/>
        </w:rPr>
        <w:fldChar w:fldCharType="separate"/>
      </w:r>
      <w:r>
        <w:rPr>
          <w:rFonts w:hint="eastAsia"/>
          <w:color w:val="auto"/>
        </w:rPr>
        <w:t>1.1</w:t>
      </w:r>
      <w:r>
        <w:rPr>
          <w:rFonts w:hint="eastAsia"/>
          <w:color w:val="auto"/>
          <w:lang w:val="en-US" w:eastAsia="zh-CN"/>
        </w:rPr>
        <w:t xml:space="preserve"> </w:t>
      </w:r>
      <w:r>
        <w:rPr>
          <w:rFonts w:hint="eastAsia"/>
          <w:color w:val="auto"/>
        </w:rPr>
        <w:t>评价对象和范围</w:t>
      </w:r>
      <w:r>
        <w:rPr>
          <w:color w:val="auto"/>
        </w:rPr>
        <w:tab/>
      </w:r>
      <w:r>
        <w:rPr>
          <w:color w:val="auto"/>
        </w:rPr>
        <w:fldChar w:fldCharType="begin"/>
      </w:r>
      <w:r>
        <w:rPr>
          <w:color w:val="auto"/>
        </w:rPr>
        <w:instrText xml:space="preserve"> PAGEREF _Toc26891 \h </w:instrText>
      </w:r>
      <w:r>
        <w:rPr>
          <w:color w:val="auto"/>
        </w:rPr>
        <w:fldChar w:fldCharType="separate"/>
      </w:r>
      <w:r>
        <w:rPr>
          <w:color w:val="auto"/>
        </w:rPr>
        <w:t>1</w:t>
      </w:r>
      <w:r>
        <w:rPr>
          <w:color w:val="auto"/>
        </w:rPr>
        <w:fldChar w:fldCharType="end"/>
      </w:r>
      <w:r>
        <w:rPr>
          <w:rFonts w:hint="eastAsia"/>
          <w:color w:val="auto"/>
          <w:lang w:val="en-US" w:eastAsia="zh-CN"/>
        </w:rPr>
        <w:fldChar w:fldCharType="end"/>
      </w:r>
    </w:p>
    <w:p w14:paraId="4DA0F12B">
      <w:pPr>
        <w:pStyle w:val="10"/>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_Toc20968 </w:instrText>
      </w:r>
      <w:r>
        <w:rPr>
          <w:rFonts w:hint="eastAsia"/>
          <w:color w:val="auto"/>
          <w:lang w:val="en-US" w:eastAsia="zh-CN"/>
        </w:rPr>
        <w:fldChar w:fldCharType="separate"/>
      </w:r>
      <w:r>
        <w:rPr>
          <w:rFonts w:hint="eastAsia"/>
          <w:color w:val="auto"/>
        </w:rPr>
        <w:t>1.1.1</w:t>
      </w:r>
      <w:r>
        <w:rPr>
          <w:rFonts w:hint="eastAsia"/>
          <w:color w:val="auto"/>
          <w:lang w:val="en-US" w:eastAsia="zh-CN"/>
        </w:rPr>
        <w:t xml:space="preserve"> </w:t>
      </w:r>
      <w:r>
        <w:rPr>
          <w:rFonts w:hint="eastAsia"/>
          <w:color w:val="auto"/>
        </w:rPr>
        <w:t>评价对象</w:t>
      </w:r>
      <w:r>
        <w:rPr>
          <w:color w:val="auto"/>
        </w:rPr>
        <w:tab/>
      </w:r>
      <w:r>
        <w:rPr>
          <w:color w:val="auto"/>
        </w:rPr>
        <w:fldChar w:fldCharType="begin"/>
      </w:r>
      <w:r>
        <w:rPr>
          <w:color w:val="auto"/>
        </w:rPr>
        <w:instrText xml:space="preserve"> PAGEREF _Toc20968 \h </w:instrText>
      </w:r>
      <w:r>
        <w:rPr>
          <w:color w:val="auto"/>
        </w:rPr>
        <w:fldChar w:fldCharType="separate"/>
      </w:r>
      <w:r>
        <w:rPr>
          <w:color w:val="auto"/>
        </w:rPr>
        <w:t>1</w:t>
      </w:r>
      <w:r>
        <w:rPr>
          <w:color w:val="auto"/>
        </w:rPr>
        <w:fldChar w:fldCharType="end"/>
      </w:r>
      <w:r>
        <w:rPr>
          <w:rFonts w:hint="eastAsia"/>
          <w:color w:val="auto"/>
          <w:lang w:val="en-US" w:eastAsia="zh-CN"/>
        </w:rPr>
        <w:fldChar w:fldCharType="end"/>
      </w:r>
    </w:p>
    <w:p w14:paraId="080D73CC">
      <w:pPr>
        <w:pStyle w:val="10"/>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_Toc12047 </w:instrText>
      </w:r>
      <w:r>
        <w:rPr>
          <w:rFonts w:hint="eastAsia"/>
          <w:color w:val="auto"/>
          <w:lang w:val="en-US" w:eastAsia="zh-CN"/>
        </w:rPr>
        <w:fldChar w:fldCharType="separate"/>
      </w:r>
      <w:r>
        <w:rPr>
          <w:rFonts w:hint="default"/>
          <w:color w:val="auto"/>
          <w:lang w:val="en-US" w:eastAsia="zh-CN"/>
        </w:rPr>
        <w:t>1.1.2 评价范围</w:t>
      </w:r>
      <w:r>
        <w:rPr>
          <w:color w:val="auto"/>
        </w:rPr>
        <w:tab/>
      </w:r>
      <w:r>
        <w:rPr>
          <w:color w:val="auto"/>
        </w:rPr>
        <w:fldChar w:fldCharType="begin"/>
      </w:r>
      <w:r>
        <w:rPr>
          <w:color w:val="auto"/>
        </w:rPr>
        <w:instrText xml:space="preserve"> PAGEREF _Toc12047 \h </w:instrText>
      </w:r>
      <w:r>
        <w:rPr>
          <w:color w:val="auto"/>
        </w:rPr>
        <w:fldChar w:fldCharType="separate"/>
      </w:r>
      <w:r>
        <w:rPr>
          <w:color w:val="auto"/>
        </w:rPr>
        <w:t>1</w:t>
      </w:r>
      <w:r>
        <w:rPr>
          <w:color w:val="auto"/>
        </w:rPr>
        <w:fldChar w:fldCharType="end"/>
      </w:r>
      <w:r>
        <w:rPr>
          <w:rFonts w:hint="eastAsia"/>
          <w:color w:val="auto"/>
          <w:lang w:val="en-US" w:eastAsia="zh-CN"/>
        </w:rPr>
        <w:fldChar w:fldCharType="end"/>
      </w:r>
    </w:p>
    <w:p w14:paraId="48E31A3C">
      <w:pPr>
        <w:pStyle w:val="14"/>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_Toc1810 </w:instrText>
      </w:r>
      <w:r>
        <w:rPr>
          <w:rFonts w:hint="eastAsia"/>
          <w:color w:val="auto"/>
          <w:lang w:val="en-US" w:eastAsia="zh-CN"/>
        </w:rPr>
        <w:fldChar w:fldCharType="separate"/>
      </w:r>
      <w:r>
        <w:rPr>
          <w:rFonts w:hint="default"/>
          <w:color w:val="auto"/>
          <w:lang w:val="en-US" w:eastAsia="zh-CN"/>
        </w:rPr>
        <w:t>1.2 评价目的和内容</w:t>
      </w:r>
      <w:r>
        <w:rPr>
          <w:color w:val="auto"/>
        </w:rPr>
        <w:tab/>
      </w:r>
      <w:r>
        <w:rPr>
          <w:color w:val="auto"/>
        </w:rPr>
        <w:fldChar w:fldCharType="begin"/>
      </w:r>
      <w:r>
        <w:rPr>
          <w:color w:val="auto"/>
        </w:rPr>
        <w:instrText xml:space="preserve"> PAGEREF _Toc1810 \h </w:instrText>
      </w:r>
      <w:r>
        <w:rPr>
          <w:color w:val="auto"/>
        </w:rPr>
        <w:fldChar w:fldCharType="separate"/>
      </w:r>
      <w:r>
        <w:rPr>
          <w:color w:val="auto"/>
        </w:rPr>
        <w:t>1</w:t>
      </w:r>
      <w:r>
        <w:rPr>
          <w:color w:val="auto"/>
        </w:rPr>
        <w:fldChar w:fldCharType="end"/>
      </w:r>
      <w:r>
        <w:rPr>
          <w:rFonts w:hint="eastAsia"/>
          <w:color w:val="auto"/>
          <w:lang w:val="en-US" w:eastAsia="zh-CN"/>
        </w:rPr>
        <w:fldChar w:fldCharType="end"/>
      </w:r>
    </w:p>
    <w:p w14:paraId="77960C56">
      <w:pPr>
        <w:pStyle w:val="10"/>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_Toc19607 </w:instrText>
      </w:r>
      <w:r>
        <w:rPr>
          <w:rFonts w:hint="eastAsia"/>
          <w:color w:val="auto"/>
          <w:lang w:val="en-US" w:eastAsia="zh-CN"/>
        </w:rPr>
        <w:fldChar w:fldCharType="separate"/>
      </w:r>
      <w:r>
        <w:rPr>
          <w:rFonts w:hint="default"/>
          <w:color w:val="auto"/>
          <w:lang w:val="en-US" w:eastAsia="zh-CN"/>
        </w:rPr>
        <w:t>1.2.1</w:t>
      </w:r>
      <w:r>
        <w:rPr>
          <w:rFonts w:hint="eastAsia"/>
          <w:color w:val="auto"/>
          <w:lang w:val="en-US" w:eastAsia="zh-CN"/>
        </w:rPr>
        <w:t xml:space="preserve"> </w:t>
      </w:r>
      <w:r>
        <w:rPr>
          <w:rFonts w:hint="default"/>
          <w:color w:val="auto"/>
          <w:lang w:val="en-US" w:eastAsia="zh-CN"/>
        </w:rPr>
        <w:t>评价目的</w:t>
      </w:r>
      <w:r>
        <w:rPr>
          <w:color w:val="auto"/>
        </w:rPr>
        <w:tab/>
      </w:r>
      <w:r>
        <w:rPr>
          <w:color w:val="auto"/>
        </w:rPr>
        <w:fldChar w:fldCharType="begin"/>
      </w:r>
      <w:r>
        <w:rPr>
          <w:color w:val="auto"/>
        </w:rPr>
        <w:instrText xml:space="preserve"> PAGEREF _Toc19607 \h </w:instrText>
      </w:r>
      <w:r>
        <w:rPr>
          <w:color w:val="auto"/>
        </w:rPr>
        <w:fldChar w:fldCharType="separate"/>
      </w:r>
      <w:r>
        <w:rPr>
          <w:color w:val="auto"/>
        </w:rPr>
        <w:t>1</w:t>
      </w:r>
      <w:r>
        <w:rPr>
          <w:color w:val="auto"/>
        </w:rPr>
        <w:fldChar w:fldCharType="end"/>
      </w:r>
      <w:r>
        <w:rPr>
          <w:rFonts w:hint="eastAsia"/>
          <w:color w:val="auto"/>
          <w:lang w:val="en-US" w:eastAsia="zh-CN"/>
        </w:rPr>
        <w:fldChar w:fldCharType="end"/>
      </w:r>
    </w:p>
    <w:p w14:paraId="3A9FF109">
      <w:pPr>
        <w:pStyle w:val="10"/>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_Toc32654 </w:instrText>
      </w:r>
      <w:r>
        <w:rPr>
          <w:rFonts w:hint="eastAsia"/>
          <w:color w:val="auto"/>
          <w:lang w:val="en-US" w:eastAsia="zh-CN"/>
        </w:rPr>
        <w:fldChar w:fldCharType="separate"/>
      </w:r>
      <w:r>
        <w:rPr>
          <w:rFonts w:hint="default"/>
          <w:color w:val="auto"/>
          <w:lang w:val="en-US" w:eastAsia="zh-CN"/>
        </w:rPr>
        <w:t>1.2.2</w:t>
      </w:r>
      <w:r>
        <w:rPr>
          <w:rFonts w:hint="eastAsia"/>
          <w:color w:val="auto"/>
          <w:lang w:val="en-US" w:eastAsia="zh-CN"/>
        </w:rPr>
        <w:t xml:space="preserve"> </w:t>
      </w:r>
      <w:r>
        <w:rPr>
          <w:rFonts w:hint="default"/>
          <w:color w:val="auto"/>
          <w:lang w:val="en-US" w:eastAsia="zh-CN"/>
        </w:rPr>
        <w:t>评价内容</w:t>
      </w:r>
      <w:r>
        <w:rPr>
          <w:color w:val="auto"/>
        </w:rPr>
        <w:tab/>
      </w:r>
      <w:r>
        <w:rPr>
          <w:color w:val="auto"/>
        </w:rPr>
        <w:fldChar w:fldCharType="begin"/>
      </w:r>
      <w:r>
        <w:rPr>
          <w:color w:val="auto"/>
        </w:rPr>
        <w:instrText xml:space="preserve"> PAGEREF _Toc32654 \h </w:instrText>
      </w:r>
      <w:r>
        <w:rPr>
          <w:color w:val="auto"/>
        </w:rPr>
        <w:fldChar w:fldCharType="separate"/>
      </w:r>
      <w:r>
        <w:rPr>
          <w:color w:val="auto"/>
        </w:rPr>
        <w:t>2</w:t>
      </w:r>
      <w:r>
        <w:rPr>
          <w:color w:val="auto"/>
        </w:rPr>
        <w:fldChar w:fldCharType="end"/>
      </w:r>
      <w:r>
        <w:rPr>
          <w:rFonts w:hint="eastAsia"/>
          <w:color w:val="auto"/>
          <w:lang w:val="en-US" w:eastAsia="zh-CN"/>
        </w:rPr>
        <w:fldChar w:fldCharType="end"/>
      </w:r>
    </w:p>
    <w:p w14:paraId="26EE100A">
      <w:pPr>
        <w:pStyle w:val="14"/>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_Toc22401 </w:instrText>
      </w:r>
      <w:r>
        <w:rPr>
          <w:rFonts w:hint="eastAsia"/>
          <w:color w:val="auto"/>
          <w:lang w:val="en-US" w:eastAsia="zh-CN"/>
        </w:rPr>
        <w:fldChar w:fldCharType="separate"/>
      </w:r>
      <w:r>
        <w:rPr>
          <w:rFonts w:hint="default"/>
          <w:color w:val="auto"/>
          <w:lang w:val="en-US" w:eastAsia="zh-CN"/>
        </w:rPr>
        <w:t>1.3 评价依据</w:t>
      </w:r>
      <w:r>
        <w:rPr>
          <w:color w:val="auto"/>
        </w:rPr>
        <w:tab/>
      </w:r>
      <w:r>
        <w:rPr>
          <w:color w:val="auto"/>
        </w:rPr>
        <w:fldChar w:fldCharType="begin"/>
      </w:r>
      <w:r>
        <w:rPr>
          <w:color w:val="auto"/>
        </w:rPr>
        <w:instrText xml:space="preserve"> PAGEREF _Toc22401 \h </w:instrText>
      </w:r>
      <w:r>
        <w:rPr>
          <w:color w:val="auto"/>
        </w:rPr>
        <w:fldChar w:fldCharType="separate"/>
      </w:r>
      <w:r>
        <w:rPr>
          <w:color w:val="auto"/>
        </w:rPr>
        <w:t>3</w:t>
      </w:r>
      <w:r>
        <w:rPr>
          <w:color w:val="auto"/>
        </w:rPr>
        <w:fldChar w:fldCharType="end"/>
      </w:r>
      <w:r>
        <w:rPr>
          <w:rFonts w:hint="eastAsia"/>
          <w:color w:val="auto"/>
          <w:lang w:val="en-US" w:eastAsia="zh-CN"/>
        </w:rPr>
        <w:fldChar w:fldCharType="end"/>
      </w:r>
    </w:p>
    <w:p w14:paraId="56618582">
      <w:pPr>
        <w:pStyle w:val="10"/>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_Toc19155 </w:instrText>
      </w:r>
      <w:r>
        <w:rPr>
          <w:rFonts w:hint="eastAsia"/>
          <w:color w:val="auto"/>
          <w:lang w:val="en-US" w:eastAsia="zh-CN"/>
        </w:rPr>
        <w:fldChar w:fldCharType="separate"/>
      </w:r>
      <w:r>
        <w:rPr>
          <w:rFonts w:hint="default"/>
          <w:color w:val="auto"/>
          <w:lang w:val="en-US" w:eastAsia="zh-CN"/>
        </w:rPr>
        <w:t>1.3.1 法律、法规</w:t>
      </w:r>
      <w:r>
        <w:rPr>
          <w:color w:val="auto"/>
        </w:rPr>
        <w:tab/>
      </w:r>
      <w:r>
        <w:rPr>
          <w:color w:val="auto"/>
        </w:rPr>
        <w:fldChar w:fldCharType="begin"/>
      </w:r>
      <w:r>
        <w:rPr>
          <w:color w:val="auto"/>
        </w:rPr>
        <w:instrText xml:space="preserve"> PAGEREF _Toc19155 \h </w:instrText>
      </w:r>
      <w:r>
        <w:rPr>
          <w:color w:val="auto"/>
        </w:rPr>
        <w:fldChar w:fldCharType="separate"/>
      </w:r>
      <w:r>
        <w:rPr>
          <w:color w:val="auto"/>
        </w:rPr>
        <w:t>3</w:t>
      </w:r>
      <w:r>
        <w:rPr>
          <w:color w:val="auto"/>
        </w:rPr>
        <w:fldChar w:fldCharType="end"/>
      </w:r>
      <w:r>
        <w:rPr>
          <w:rFonts w:hint="eastAsia"/>
          <w:color w:val="auto"/>
          <w:lang w:val="en-US" w:eastAsia="zh-CN"/>
        </w:rPr>
        <w:fldChar w:fldCharType="end"/>
      </w:r>
    </w:p>
    <w:p w14:paraId="21C396B9">
      <w:pPr>
        <w:pStyle w:val="10"/>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_Toc22098 </w:instrText>
      </w:r>
      <w:r>
        <w:rPr>
          <w:rFonts w:hint="eastAsia"/>
          <w:color w:val="auto"/>
          <w:lang w:val="en-US" w:eastAsia="zh-CN"/>
        </w:rPr>
        <w:fldChar w:fldCharType="separate"/>
      </w:r>
      <w:r>
        <w:rPr>
          <w:rFonts w:hint="default"/>
          <w:color w:val="auto"/>
          <w:lang w:val="en-US" w:eastAsia="zh-CN"/>
        </w:rPr>
        <w:t>1.3.2 规章、规范性文件</w:t>
      </w:r>
      <w:r>
        <w:rPr>
          <w:color w:val="auto"/>
        </w:rPr>
        <w:tab/>
      </w:r>
      <w:r>
        <w:rPr>
          <w:color w:val="auto"/>
        </w:rPr>
        <w:fldChar w:fldCharType="begin"/>
      </w:r>
      <w:r>
        <w:rPr>
          <w:color w:val="auto"/>
        </w:rPr>
        <w:instrText xml:space="preserve"> PAGEREF _Toc22098 \h </w:instrText>
      </w:r>
      <w:r>
        <w:rPr>
          <w:color w:val="auto"/>
        </w:rPr>
        <w:fldChar w:fldCharType="separate"/>
      </w:r>
      <w:r>
        <w:rPr>
          <w:color w:val="auto"/>
        </w:rPr>
        <w:t>6</w:t>
      </w:r>
      <w:r>
        <w:rPr>
          <w:color w:val="auto"/>
        </w:rPr>
        <w:fldChar w:fldCharType="end"/>
      </w:r>
      <w:r>
        <w:rPr>
          <w:rFonts w:hint="eastAsia"/>
          <w:color w:val="auto"/>
          <w:lang w:val="en-US" w:eastAsia="zh-CN"/>
        </w:rPr>
        <w:fldChar w:fldCharType="end"/>
      </w:r>
    </w:p>
    <w:p w14:paraId="38015689">
      <w:pPr>
        <w:pStyle w:val="10"/>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_Toc16037 </w:instrText>
      </w:r>
      <w:r>
        <w:rPr>
          <w:rFonts w:hint="eastAsia"/>
          <w:color w:val="auto"/>
          <w:lang w:val="en-US" w:eastAsia="zh-CN"/>
        </w:rPr>
        <w:fldChar w:fldCharType="separate"/>
      </w:r>
      <w:r>
        <w:rPr>
          <w:rFonts w:hint="default"/>
          <w:color w:val="auto"/>
          <w:lang w:val="en-US" w:eastAsia="zh-CN"/>
        </w:rPr>
        <w:t>1.3.3 标准、规范</w:t>
      </w:r>
      <w:r>
        <w:rPr>
          <w:color w:val="auto"/>
        </w:rPr>
        <w:tab/>
      </w:r>
      <w:r>
        <w:rPr>
          <w:color w:val="auto"/>
        </w:rPr>
        <w:fldChar w:fldCharType="begin"/>
      </w:r>
      <w:r>
        <w:rPr>
          <w:color w:val="auto"/>
        </w:rPr>
        <w:instrText xml:space="preserve"> PAGEREF _Toc16037 \h </w:instrText>
      </w:r>
      <w:r>
        <w:rPr>
          <w:color w:val="auto"/>
        </w:rPr>
        <w:fldChar w:fldCharType="separate"/>
      </w:r>
      <w:r>
        <w:rPr>
          <w:color w:val="auto"/>
        </w:rPr>
        <w:t>10</w:t>
      </w:r>
      <w:r>
        <w:rPr>
          <w:color w:val="auto"/>
        </w:rPr>
        <w:fldChar w:fldCharType="end"/>
      </w:r>
      <w:r>
        <w:rPr>
          <w:rFonts w:hint="eastAsia"/>
          <w:color w:val="auto"/>
          <w:lang w:val="en-US" w:eastAsia="zh-CN"/>
        </w:rPr>
        <w:fldChar w:fldCharType="end"/>
      </w:r>
    </w:p>
    <w:p w14:paraId="25CDECDB">
      <w:pPr>
        <w:pStyle w:val="10"/>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_Toc29610 </w:instrText>
      </w:r>
      <w:r>
        <w:rPr>
          <w:rFonts w:hint="eastAsia"/>
          <w:color w:val="auto"/>
          <w:lang w:val="en-US" w:eastAsia="zh-CN"/>
        </w:rPr>
        <w:fldChar w:fldCharType="separate"/>
      </w:r>
      <w:r>
        <w:rPr>
          <w:rFonts w:hint="default"/>
          <w:color w:val="auto"/>
          <w:lang w:val="en-US" w:eastAsia="zh-CN"/>
        </w:rPr>
        <w:t>1.3.</w:t>
      </w:r>
      <w:r>
        <w:rPr>
          <w:rFonts w:hint="eastAsia"/>
          <w:color w:val="auto"/>
          <w:lang w:val="en-US" w:eastAsia="zh-CN"/>
        </w:rPr>
        <w:t>4</w:t>
      </w:r>
      <w:r>
        <w:rPr>
          <w:rFonts w:hint="default"/>
          <w:color w:val="auto"/>
          <w:lang w:val="en-US" w:eastAsia="zh-CN"/>
        </w:rPr>
        <w:t xml:space="preserve"> 建设项目技术资料</w:t>
      </w:r>
      <w:r>
        <w:rPr>
          <w:color w:val="auto"/>
        </w:rPr>
        <w:tab/>
      </w:r>
      <w:r>
        <w:rPr>
          <w:color w:val="auto"/>
        </w:rPr>
        <w:fldChar w:fldCharType="begin"/>
      </w:r>
      <w:r>
        <w:rPr>
          <w:color w:val="auto"/>
        </w:rPr>
        <w:instrText xml:space="preserve"> PAGEREF _Toc29610 \h </w:instrText>
      </w:r>
      <w:r>
        <w:rPr>
          <w:color w:val="auto"/>
        </w:rPr>
        <w:fldChar w:fldCharType="separate"/>
      </w:r>
      <w:r>
        <w:rPr>
          <w:color w:val="auto"/>
        </w:rPr>
        <w:t>12</w:t>
      </w:r>
      <w:r>
        <w:rPr>
          <w:color w:val="auto"/>
        </w:rPr>
        <w:fldChar w:fldCharType="end"/>
      </w:r>
      <w:r>
        <w:rPr>
          <w:rFonts w:hint="eastAsia"/>
          <w:color w:val="auto"/>
          <w:lang w:val="en-US" w:eastAsia="zh-CN"/>
        </w:rPr>
        <w:fldChar w:fldCharType="end"/>
      </w:r>
    </w:p>
    <w:p w14:paraId="00FA3ABE">
      <w:pPr>
        <w:pStyle w:val="14"/>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_Toc8017 </w:instrText>
      </w:r>
      <w:r>
        <w:rPr>
          <w:rFonts w:hint="eastAsia"/>
          <w:color w:val="auto"/>
          <w:lang w:val="en-US" w:eastAsia="zh-CN"/>
        </w:rPr>
        <w:fldChar w:fldCharType="separate"/>
      </w:r>
      <w:r>
        <w:rPr>
          <w:rFonts w:hint="default"/>
          <w:color w:val="auto"/>
          <w:lang w:val="en-US" w:eastAsia="zh-CN"/>
        </w:rPr>
        <w:t>1.4</w:t>
      </w:r>
      <w:r>
        <w:rPr>
          <w:rFonts w:hint="eastAsia"/>
          <w:color w:val="auto"/>
          <w:lang w:val="en-US" w:eastAsia="zh-CN"/>
        </w:rPr>
        <w:t xml:space="preserve"> </w:t>
      </w:r>
      <w:r>
        <w:rPr>
          <w:rFonts w:hint="default"/>
          <w:color w:val="auto"/>
          <w:lang w:val="en-US" w:eastAsia="zh-CN"/>
        </w:rPr>
        <w:t>评价程序</w:t>
      </w:r>
      <w:r>
        <w:rPr>
          <w:color w:val="auto"/>
        </w:rPr>
        <w:tab/>
      </w:r>
      <w:r>
        <w:rPr>
          <w:color w:val="auto"/>
        </w:rPr>
        <w:fldChar w:fldCharType="begin"/>
      </w:r>
      <w:r>
        <w:rPr>
          <w:color w:val="auto"/>
        </w:rPr>
        <w:instrText xml:space="preserve"> PAGEREF _Toc8017 \h </w:instrText>
      </w:r>
      <w:r>
        <w:rPr>
          <w:color w:val="auto"/>
        </w:rPr>
        <w:fldChar w:fldCharType="separate"/>
      </w:r>
      <w:r>
        <w:rPr>
          <w:color w:val="auto"/>
        </w:rPr>
        <w:t>13</w:t>
      </w:r>
      <w:r>
        <w:rPr>
          <w:color w:val="auto"/>
        </w:rPr>
        <w:fldChar w:fldCharType="end"/>
      </w:r>
      <w:r>
        <w:rPr>
          <w:rFonts w:hint="eastAsia"/>
          <w:color w:val="auto"/>
          <w:lang w:val="en-US" w:eastAsia="zh-CN"/>
        </w:rPr>
        <w:fldChar w:fldCharType="end"/>
      </w:r>
    </w:p>
    <w:p w14:paraId="694396C8">
      <w:pPr>
        <w:pStyle w:val="13"/>
        <w:keepNext w:val="0"/>
        <w:keepLines w:val="0"/>
        <w:pageBreakBefore w:val="0"/>
        <w:widowControl w:val="0"/>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_Toc15908 </w:instrText>
      </w:r>
      <w:r>
        <w:rPr>
          <w:rFonts w:hint="eastAsia"/>
          <w:color w:val="auto"/>
          <w:lang w:val="en-US" w:eastAsia="zh-CN"/>
        </w:rPr>
        <w:fldChar w:fldCharType="separate"/>
      </w:r>
      <w:r>
        <w:rPr>
          <w:rFonts w:hint="default" w:ascii="Times New Roman" w:hAnsi="Times New Roman" w:cs="Times New Roman"/>
          <w:color w:val="auto"/>
          <w:lang w:val="en-US" w:eastAsia="zh-CN"/>
        </w:rPr>
        <w:t>2. 项目概况</w:t>
      </w:r>
      <w:r>
        <w:rPr>
          <w:color w:val="auto"/>
        </w:rPr>
        <w:tab/>
      </w:r>
      <w:r>
        <w:rPr>
          <w:color w:val="auto"/>
        </w:rPr>
        <w:fldChar w:fldCharType="begin"/>
      </w:r>
      <w:r>
        <w:rPr>
          <w:color w:val="auto"/>
        </w:rPr>
        <w:instrText xml:space="preserve"> PAGEREF _Toc15908 \h </w:instrText>
      </w:r>
      <w:r>
        <w:rPr>
          <w:color w:val="auto"/>
        </w:rPr>
        <w:fldChar w:fldCharType="separate"/>
      </w:r>
      <w:r>
        <w:rPr>
          <w:color w:val="auto"/>
        </w:rPr>
        <w:t>14</w:t>
      </w:r>
      <w:r>
        <w:rPr>
          <w:color w:val="auto"/>
        </w:rPr>
        <w:fldChar w:fldCharType="end"/>
      </w:r>
      <w:r>
        <w:rPr>
          <w:rFonts w:hint="eastAsia"/>
          <w:color w:val="auto"/>
          <w:lang w:val="en-US" w:eastAsia="zh-CN"/>
        </w:rPr>
        <w:fldChar w:fldCharType="end"/>
      </w:r>
    </w:p>
    <w:p w14:paraId="6460339F">
      <w:pPr>
        <w:pStyle w:val="14"/>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_Toc13954 </w:instrText>
      </w:r>
      <w:r>
        <w:rPr>
          <w:rFonts w:hint="eastAsia"/>
          <w:color w:val="auto"/>
          <w:lang w:val="en-US" w:eastAsia="zh-CN"/>
        </w:rPr>
        <w:fldChar w:fldCharType="separate"/>
      </w:r>
      <w:r>
        <w:rPr>
          <w:rFonts w:hint="default"/>
          <w:color w:val="auto"/>
          <w:lang w:val="en-US" w:eastAsia="zh-CN"/>
        </w:rPr>
        <w:t>2.1</w:t>
      </w:r>
      <w:r>
        <w:rPr>
          <w:rFonts w:hint="eastAsia"/>
          <w:color w:val="auto"/>
          <w:lang w:val="en-US" w:eastAsia="zh-CN"/>
        </w:rPr>
        <w:t xml:space="preserve"> </w:t>
      </w:r>
      <w:r>
        <w:rPr>
          <w:rFonts w:hint="default"/>
          <w:color w:val="auto"/>
          <w:lang w:val="en-US" w:eastAsia="zh-CN"/>
        </w:rPr>
        <w:t>建设单位概况</w:t>
      </w:r>
      <w:r>
        <w:rPr>
          <w:color w:val="auto"/>
        </w:rPr>
        <w:tab/>
      </w:r>
      <w:r>
        <w:rPr>
          <w:color w:val="auto"/>
        </w:rPr>
        <w:fldChar w:fldCharType="begin"/>
      </w:r>
      <w:r>
        <w:rPr>
          <w:color w:val="auto"/>
        </w:rPr>
        <w:instrText xml:space="preserve"> PAGEREF _Toc13954 \h </w:instrText>
      </w:r>
      <w:r>
        <w:rPr>
          <w:color w:val="auto"/>
        </w:rPr>
        <w:fldChar w:fldCharType="separate"/>
      </w:r>
      <w:r>
        <w:rPr>
          <w:color w:val="auto"/>
        </w:rPr>
        <w:t>14</w:t>
      </w:r>
      <w:r>
        <w:rPr>
          <w:color w:val="auto"/>
        </w:rPr>
        <w:fldChar w:fldCharType="end"/>
      </w:r>
      <w:r>
        <w:rPr>
          <w:rFonts w:hint="eastAsia"/>
          <w:color w:val="auto"/>
          <w:lang w:val="en-US" w:eastAsia="zh-CN"/>
        </w:rPr>
        <w:fldChar w:fldCharType="end"/>
      </w:r>
    </w:p>
    <w:p w14:paraId="18154929">
      <w:pPr>
        <w:pStyle w:val="10"/>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_Toc24664 </w:instrText>
      </w:r>
      <w:r>
        <w:rPr>
          <w:rFonts w:hint="eastAsia"/>
          <w:color w:val="auto"/>
          <w:lang w:val="en-US" w:eastAsia="zh-CN"/>
        </w:rPr>
        <w:fldChar w:fldCharType="separate"/>
      </w:r>
      <w:r>
        <w:rPr>
          <w:rFonts w:hint="default"/>
          <w:color w:val="auto"/>
          <w:lang w:val="en-US" w:eastAsia="zh-CN"/>
        </w:rPr>
        <w:t>2.1.1</w:t>
      </w:r>
      <w:r>
        <w:rPr>
          <w:rFonts w:hint="eastAsia"/>
          <w:color w:val="auto"/>
          <w:lang w:val="en-US" w:eastAsia="zh-CN"/>
        </w:rPr>
        <w:t xml:space="preserve"> </w:t>
      </w:r>
      <w:r>
        <w:rPr>
          <w:rFonts w:hint="default"/>
          <w:color w:val="auto"/>
          <w:lang w:val="en-US" w:eastAsia="zh-CN"/>
        </w:rPr>
        <w:t>建设单位简介及项目</w:t>
      </w:r>
      <w:r>
        <w:rPr>
          <w:rFonts w:hint="eastAsia"/>
          <w:color w:val="auto"/>
          <w:lang w:val="en-US" w:eastAsia="zh-CN"/>
        </w:rPr>
        <w:t>情况</w:t>
      </w:r>
      <w:r>
        <w:rPr>
          <w:color w:val="auto"/>
        </w:rPr>
        <w:tab/>
      </w:r>
      <w:r>
        <w:rPr>
          <w:color w:val="auto"/>
        </w:rPr>
        <w:fldChar w:fldCharType="begin"/>
      </w:r>
      <w:r>
        <w:rPr>
          <w:color w:val="auto"/>
        </w:rPr>
        <w:instrText xml:space="preserve"> PAGEREF _Toc24664 \h </w:instrText>
      </w:r>
      <w:r>
        <w:rPr>
          <w:color w:val="auto"/>
        </w:rPr>
        <w:fldChar w:fldCharType="separate"/>
      </w:r>
      <w:r>
        <w:rPr>
          <w:color w:val="auto"/>
        </w:rPr>
        <w:t>14</w:t>
      </w:r>
      <w:r>
        <w:rPr>
          <w:color w:val="auto"/>
        </w:rPr>
        <w:fldChar w:fldCharType="end"/>
      </w:r>
      <w:r>
        <w:rPr>
          <w:rFonts w:hint="eastAsia"/>
          <w:color w:val="auto"/>
          <w:lang w:val="en-US" w:eastAsia="zh-CN"/>
        </w:rPr>
        <w:fldChar w:fldCharType="end"/>
      </w:r>
    </w:p>
    <w:p w14:paraId="66036D25">
      <w:pPr>
        <w:pStyle w:val="10"/>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_Toc13752 </w:instrText>
      </w:r>
      <w:r>
        <w:rPr>
          <w:rFonts w:hint="eastAsia"/>
          <w:color w:val="auto"/>
          <w:lang w:val="en-US" w:eastAsia="zh-CN"/>
        </w:rPr>
        <w:fldChar w:fldCharType="separate"/>
      </w:r>
      <w:r>
        <w:rPr>
          <w:rFonts w:hint="default"/>
          <w:color w:val="auto"/>
          <w:lang w:val="en-US" w:eastAsia="zh-CN"/>
        </w:rPr>
        <w:t>2.1.2</w:t>
      </w:r>
      <w:r>
        <w:rPr>
          <w:rFonts w:hint="eastAsia"/>
          <w:color w:val="auto"/>
          <w:lang w:val="en-US" w:eastAsia="zh-CN"/>
        </w:rPr>
        <w:t xml:space="preserve"> </w:t>
      </w:r>
      <w:r>
        <w:rPr>
          <w:rFonts w:hint="default"/>
          <w:color w:val="auto"/>
          <w:lang w:val="en-US" w:eastAsia="zh-CN"/>
        </w:rPr>
        <w:t>地理位置及交通</w:t>
      </w:r>
      <w:r>
        <w:rPr>
          <w:color w:val="auto"/>
        </w:rPr>
        <w:tab/>
      </w:r>
      <w:r>
        <w:rPr>
          <w:color w:val="auto"/>
        </w:rPr>
        <w:fldChar w:fldCharType="begin"/>
      </w:r>
      <w:r>
        <w:rPr>
          <w:color w:val="auto"/>
        </w:rPr>
        <w:instrText xml:space="preserve"> PAGEREF _Toc13752 \h </w:instrText>
      </w:r>
      <w:r>
        <w:rPr>
          <w:color w:val="auto"/>
        </w:rPr>
        <w:fldChar w:fldCharType="separate"/>
      </w:r>
      <w:r>
        <w:rPr>
          <w:color w:val="auto"/>
        </w:rPr>
        <w:t>15</w:t>
      </w:r>
      <w:r>
        <w:rPr>
          <w:color w:val="auto"/>
        </w:rPr>
        <w:fldChar w:fldCharType="end"/>
      </w:r>
      <w:r>
        <w:rPr>
          <w:rFonts w:hint="eastAsia"/>
          <w:color w:val="auto"/>
          <w:lang w:val="en-US" w:eastAsia="zh-CN"/>
        </w:rPr>
        <w:fldChar w:fldCharType="end"/>
      </w:r>
    </w:p>
    <w:p w14:paraId="0B0057E1">
      <w:pPr>
        <w:pStyle w:val="10"/>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_Toc23007 </w:instrText>
      </w:r>
      <w:r>
        <w:rPr>
          <w:rFonts w:hint="eastAsia"/>
          <w:color w:val="auto"/>
          <w:lang w:val="en-US" w:eastAsia="zh-CN"/>
        </w:rPr>
        <w:fldChar w:fldCharType="separate"/>
      </w:r>
      <w:r>
        <w:rPr>
          <w:rFonts w:hint="eastAsia"/>
          <w:color w:val="auto"/>
          <w:lang w:val="en-US" w:eastAsia="zh-CN"/>
        </w:rPr>
        <w:t>2.1.3 开采范围</w:t>
      </w:r>
      <w:r>
        <w:rPr>
          <w:color w:val="auto"/>
        </w:rPr>
        <w:tab/>
      </w:r>
      <w:r>
        <w:rPr>
          <w:color w:val="auto"/>
        </w:rPr>
        <w:fldChar w:fldCharType="begin"/>
      </w:r>
      <w:r>
        <w:rPr>
          <w:color w:val="auto"/>
        </w:rPr>
        <w:instrText xml:space="preserve"> PAGEREF _Toc23007 \h </w:instrText>
      </w:r>
      <w:r>
        <w:rPr>
          <w:color w:val="auto"/>
        </w:rPr>
        <w:fldChar w:fldCharType="separate"/>
      </w:r>
      <w:r>
        <w:rPr>
          <w:color w:val="auto"/>
        </w:rPr>
        <w:t>16</w:t>
      </w:r>
      <w:r>
        <w:rPr>
          <w:color w:val="auto"/>
        </w:rPr>
        <w:fldChar w:fldCharType="end"/>
      </w:r>
      <w:r>
        <w:rPr>
          <w:rFonts w:hint="eastAsia"/>
          <w:color w:val="auto"/>
          <w:lang w:val="en-US" w:eastAsia="zh-CN"/>
        </w:rPr>
        <w:fldChar w:fldCharType="end"/>
      </w:r>
    </w:p>
    <w:p w14:paraId="4C39C4C8">
      <w:pPr>
        <w:pStyle w:val="10"/>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_Toc27073 </w:instrText>
      </w:r>
      <w:r>
        <w:rPr>
          <w:rFonts w:hint="eastAsia"/>
          <w:color w:val="auto"/>
          <w:lang w:val="en-US" w:eastAsia="zh-CN"/>
        </w:rPr>
        <w:fldChar w:fldCharType="separate"/>
      </w:r>
      <w:r>
        <w:rPr>
          <w:rFonts w:hint="default"/>
          <w:color w:val="auto"/>
          <w:lang w:val="en-US" w:eastAsia="zh-CN"/>
        </w:rPr>
        <w:t>2.1.</w:t>
      </w:r>
      <w:r>
        <w:rPr>
          <w:rFonts w:hint="eastAsia"/>
          <w:color w:val="auto"/>
          <w:lang w:val="en-US" w:eastAsia="zh-CN"/>
        </w:rPr>
        <w:t>4</w:t>
      </w:r>
      <w:r>
        <w:rPr>
          <w:rFonts w:hint="default"/>
          <w:color w:val="auto"/>
          <w:lang w:val="en-US" w:eastAsia="zh-CN"/>
        </w:rPr>
        <w:t xml:space="preserve"> 矿区周边环境</w:t>
      </w:r>
      <w:r>
        <w:rPr>
          <w:color w:val="auto"/>
        </w:rPr>
        <w:tab/>
      </w:r>
      <w:r>
        <w:rPr>
          <w:color w:val="auto"/>
        </w:rPr>
        <w:fldChar w:fldCharType="begin"/>
      </w:r>
      <w:r>
        <w:rPr>
          <w:color w:val="auto"/>
        </w:rPr>
        <w:instrText xml:space="preserve"> PAGEREF _Toc27073 \h </w:instrText>
      </w:r>
      <w:r>
        <w:rPr>
          <w:color w:val="auto"/>
        </w:rPr>
        <w:fldChar w:fldCharType="separate"/>
      </w:r>
      <w:r>
        <w:rPr>
          <w:color w:val="auto"/>
        </w:rPr>
        <w:t>17</w:t>
      </w:r>
      <w:r>
        <w:rPr>
          <w:color w:val="auto"/>
        </w:rPr>
        <w:fldChar w:fldCharType="end"/>
      </w:r>
      <w:r>
        <w:rPr>
          <w:rFonts w:hint="eastAsia"/>
          <w:color w:val="auto"/>
          <w:lang w:val="en-US" w:eastAsia="zh-CN"/>
        </w:rPr>
        <w:fldChar w:fldCharType="end"/>
      </w:r>
    </w:p>
    <w:p w14:paraId="63C17A82">
      <w:pPr>
        <w:pStyle w:val="14"/>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_Toc18826 </w:instrText>
      </w:r>
      <w:r>
        <w:rPr>
          <w:rFonts w:hint="eastAsia"/>
          <w:color w:val="auto"/>
          <w:lang w:val="en-US" w:eastAsia="zh-CN"/>
        </w:rPr>
        <w:fldChar w:fldCharType="separate"/>
      </w:r>
      <w:r>
        <w:rPr>
          <w:rFonts w:hint="eastAsia"/>
          <w:color w:val="auto"/>
          <w:lang w:val="en-US" w:eastAsia="zh-CN"/>
        </w:rPr>
        <w:t>2.2 自然环境概况</w:t>
      </w:r>
      <w:r>
        <w:rPr>
          <w:color w:val="auto"/>
        </w:rPr>
        <w:tab/>
      </w:r>
      <w:r>
        <w:rPr>
          <w:color w:val="auto"/>
        </w:rPr>
        <w:fldChar w:fldCharType="begin"/>
      </w:r>
      <w:r>
        <w:rPr>
          <w:color w:val="auto"/>
        </w:rPr>
        <w:instrText xml:space="preserve"> PAGEREF _Toc18826 \h </w:instrText>
      </w:r>
      <w:r>
        <w:rPr>
          <w:color w:val="auto"/>
        </w:rPr>
        <w:fldChar w:fldCharType="separate"/>
      </w:r>
      <w:r>
        <w:rPr>
          <w:color w:val="auto"/>
        </w:rPr>
        <w:t>17</w:t>
      </w:r>
      <w:r>
        <w:rPr>
          <w:color w:val="auto"/>
        </w:rPr>
        <w:fldChar w:fldCharType="end"/>
      </w:r>
      <w:r>
        <w:rPr>
          <w:rFonts w:hint="eastAsia"/>
          <w:color w:val="auto"/>
          <w:lang w:val="en-US" w:eastAsia="zh-CN"/>
        </w:rPr>
        <w:fldChar w:fldCharType="end"/>
      </w:r>
    </w:p>
    <w:p w14:paraId="045C549E">
      <w:pPr>
        <w:pStyle w:val="14"/>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_Toc11927 </w:instrText>
      </w:r>
      <w:r>
        <w:rPr>
          <w:rFonts w:hint="eastAsia"/>
          <w:color w:val="auto"/>
          <w:lang w:val="en-US" w:eastAsia="zh-CN"/>
        </w:rPr>
        <w:fldChar w:fldCharType="separate"/>
      </w:r>
      <w:r>
        <w:rPr>
          <w:rFonts w:hint="default"/>
          <w:color w:val="auto"/>
          <w:lang w:val="en-US" w:eastAsia="zh-CN"/>
        </w:rPr>
        <w:t>2.3 地质概况</w:t>
      </w:r>
      <w:r>
        <w:rPr>
          <w:color w:val="auto"/>
        </w:rPr>
        <w:tab/>
      </w:r>
      <w:r>
        <w:rPr>
          <w:color w:val="auto"/>
        </w:rPr>
        <w:fldChar w:fldCharType="begin"/>
      </w:r>
      <w:r>
        <w:rPr>
          <w:color w:val="auto"/>
        </w:rPr>
        <w:instrText xml:space="preserve"> PAGEREF _Toc11927 \h </w:instrText>
      </w:r>
      <w:r>
        <w:rPr>
          <w:color w:val="auto"/>
        </w:rPr>
        <w:fldChar w:fldCharType="separate"/>
      </w:r>
      <w:r>
        <w:rPr>
          <w:color w:val="auto"/>
        </w:rPr>
        <w:t>18</w:t>
      </w:r>
      <w:r>
        <w:rPr>
          <w:color w:val="auto"/>
        </w:rPr>
        <w:fldChar w:fldCharType="end"/>
      </w:r>
      <w:r>
        <w:rPr>
          <w:rFonts w:hint="eastAsia"/>
          <w:color w:val="auto"/>
          <w:lang w:val="en-US" w:eastAsia="zh-CN"/>
        </w:rPr>
        <w:fldChar w:fldCharType="end"/>
      </w:r>
    </w:p>
    <w:p w14:paraId="0F3CFA3B">
      <w:pPr>
        <w:pStyle w:val="10"/>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_Toc6691 </w:instrText>
      </w:r>
      <w:r>
        <w:rPr>
          <w:rFonts w:hint="eastAsia"/>
          <w:color w:val="auto"/>
          <w:lang w:val="en-US" w:eastAsia="zh-CN"/>
        </w:rPr>
        <w:fldChar w:fldCharType="separate"/>
      </w:r>
      <w:r>
        <w:rPr>
          <w:rFonts w:hint="default"/>
          <w:color w:val="auto"/>
          <w:lang w:val="en-US" w:eastAsia="zh-CN"/>
        </w:rPr>
        <w:t>2.3.1</w:t>
      </w:r>
      <w:r>
        <w:rPr>
          <w:rFonts w:hint="eastAsia"/>
          <w:color w:val="auto"/>
          <w:lang w:val="en-US" w:eastAsia="zh-CN"/>
        </w:rPr>
        <w:t xml:space="preserve"> </w:t>
      </w:r>
      <w:r>
        <w:rPr>
          <w:rFonts w:hint="default"/>
          <w:color w:val="auto"/>
          <w:lang w:val="en-US" w:eastAsia="zh-CN"/>
        </w:rPr>
        <w:t>矿区地质概况</w:t>
      </w:r>
      <w:r>
        <w:rPr>
          <w:color w:val="auto"/>
        </w:rPr>
        <w:tab/>
      </w:r>
      <w:r>
        <w:rPr>
          <w:color w:val="auto"/>
        </w:rPr>
        <w:fldChar w:fldCharType="begin"/>
      </w:r>
      <w:r>
        <w:rPr>
          <w:color w:val="auto"/>
        </w:rPr>
        <w:instrText xml:space="preserve"> PAGEREF _Toc6691 \h </w:instrText>
      </w:r>
      <w:r>
        <w:rPr>
          <w:color w:val="auto"/>
        </w:rPr>
        <w:fldChar w:fldCharType="separate"/>
      </w:r>
      <w:r>
        <w:rPr>
          <w:color w:val="auto"/>
        </w:rPr>
        <w:t>18</w:t>
      </w:r>
      <w:r>
        <w:rPr>
          <w:color w:val="auto"/>
        </w:rPr>
        <w:fldChar w:fldCharType="end"/>
      </w:r>
      <w:r>
        <w:rPr>
          <w:rFonts w:hint="eastAsia"/>
          <w:color w:val="auto"/>
          <w:lang w:val="en-US" w:eastAsia="zh-CN"/>
        </w:rPr>
        <w:fldChar w:fldCharType="end"/>
      </w:r>
    </w:p>
    <w:p w14:paraId="6D71B9C8">
      <w:pPr>
        <w:pStyle w:val="10"/>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_Toc20372 </w:instrText>
      </w:r>
      <w:r>
        <w:rPr>
          <w:rFonts w:hint="eastAsia"/>
          <w:color w:val="auto"/>
          <w:lang w:val="en-US" w:eastAsia="zh-CN"/>
        </w:rPr>
        <w:fldChar w:fldCharType="separate"/>
      </w:r>
      <w:r>
        <w:rPr>
          <w:rFonts w:hint="default"/>
          <w:color w:val="auto"/>
          <w:lang w:val="en-US" w:eastAsia="zh-CN"/>
        </w:rPr>
        <w:t>2.3.2 水文地质概况</w:t>
      </w:r>
      <w:r>
        <w:rPr>
          <w:color w:val="auto"/>
        </w:rPr>
        <w:tab/>
      </w:r>
      <w:r>
        <w:rPr>
          <w:color w:val="auto"/>
        </w:rPr>
        <w:fldChar w:fldCharType="begin"/>
      </w:r>
      <w:r>
        <w:rPr>
          <w:color w:val="auto"/>
        </w:rPr>
        <w:instrText xml:space="preserve"> PAGEREF _Toc20372 \h </w:instrText>
      </w:r>
      <w:r>
        <w:rPr>
          <w:color w:val="auto"/>
        </w:rPr>
        <w:fldChar w:fldCharType="separate"/>
      </w:r>
      <w:r>
        <w:rPr>
          <w:color w:val="auto"/>
        </w:rPr>
        <w:t>20</w:t>
      </w:r>
      <w:r>
        <w:rPr>
          <w:color w:val="auto"/>
        </w:rPr>
        <w:fldChar w:fldCharType="end"/>
      </w:r>
      <w:r>
        <w:rPr>
          <w:rFonts w:hint="eastAsia"/>
          <w:color w:val="auto"/>
          <w:lang w:val="en-US" w:eastAsia="zh-CN"/>
        </w:rPr>
        <w:fldChar w:fldCharType="end"/>
      </w:r>
    </w:p>
    <w:p w14:paraId="1DD4C17C">
      <w:pPr>
        <w:pStyle w:val="10"/>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_Toc11895 </w:instrText>
      </w:r>
      <w:r>
        <w:rPr>
          <w:rFonts w:hint="eastAsia"/>
          <w:color w:val="auto"/>
          <w:lang w:val="en-US" w:eastAsia="zh-CN"/>
        </w:rPr>
        <w:fldChar w:fldCharType="separate"/>
      </w:r>
      <w:r>
        <w:rPr>
          <w:rFonts w:hint="eastAsia"/>
          <w:color w:val="auto"/>
          <w:lang w:val="en-US" w:eastAsia="zh-CN"/>
        </w:rPr>
        <w:t xml:space="preserve">2.3.3 </w:t>
      </w:r>
      <w:r>
        <w:rPr>
          <w:rFonts w:hint="default"/>
          <w:color w:val="auto"/>
          <w:lang w:val="en-US" w:eastAsia="zh-CN"/>
        </w:rPr>
        <w:t>工程地质概况</w:t>
      </w:r>
      <w:r>
        <w:rPr>
          <w:color w:val="auto"/>
        </w:rPr>
        <w:tab/>
      </w:r>
      <w:r>
        <w:rPr>
          <w:color w:val="auto"/>
        </w:rPr>
        <w:fldChar w:fldCharType="begin"/>
      </w:r>
      <w:r>
        <w:rPr>
          <w:color w:val="auto"/>
        </w:rPr>
        <w:instrText xml:space="preserve"> PAGEREF _Toc11895 \h </w:instrText>
      </w:r>
      <w:r>
        <w:rPr>
          <w:color w:val="auto"/>
        </w:rPr>
        <w:fldChar w:fldCharType="separate"/>
      </w:r>
      <w:r>
        <w:rPr>
          <w:color w:val="auto"/>
        </w:rPr>
        <w:t>21</w:t>
      </w:r>
      <w:r>
        <w:rPr>
          <w:color w:val="auto"/>
        </w:rPr>
        <w:fldChar w:fldCharType="end"/>
      </w:r>
      <w:r>
        <w:rPr>
          <w:rFonts w:hint="eastAsia"/>
          <w:color w:val="auto"/>
          <w:lang w:val="en-US" w:eastAsia="zh-CN"/>
        </w:rPr>
        <w:fldChar w:fldCharType="end"/>
      </w:r>
    </w:p>
    <w:p w14:paraId="30B9CC1E">
      <w:pPr>
        <w:pStyle w:val="10"/>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_Toc7641 </w:instrText>
      </w:r>
      <w:r>
        <w:rPr>
          <w:rFonts w:hint="eastAsia"/>
          <w:color w:val="auto"/>
          <w:lang w:val="en-US" w:eastAsia="zh-CN"/>
        </w:rPr>
        <w:fldChar w:fldCharType="separate"/>
      </w:r>
      <w:r>
        <w:rPr>
          <w:rFonts w:hint="eastAsia"/>
          <w:color w:val="auto"/>
          <w:lang w:val="en-US" w:eastAsia="zh-CN"/>
        </w:rPr>
        <w:t>2.3.4 矿床地质概况</w:t>
      </w:r>
      <w:r>
        <w:rPr>
          <w:color w:val="auto"/>
        </w:rPr>
        <w:tab/>
      </w:r>
      <w:r>
        <w:rPr>
          <w:color w:val="auto"/>
        </w:rPr>
        <w:fldChar w:fldCharType="begin"/>
      </w:r>
      <w:r>
        <w:rPr>
          <w:color w:val="auto"/>
        </w:rPr>
        <w:instrText xml:space="preserve"> PAGEREF _Toc7641 \h </w:instrText>
      </w:r>
      <w:r>
        <w:rPr>
          <w:color w:val="auto"/>
        </w:rPr>
        <w:fldChar w:fldCharType="separate"/>
      </w:r>
      <w:r>
        <w:rPr>
          <w:color w:val="auto"/>
        </w:rPr>
        <w:t>22</w:t>
      </w:r>
      <w:r>
        <w:rPr>
          <w:color w:val="auto"/>
        </w:rPr>
        <w:fldChar w:fldCharType="end"/>
      </w:r>
      <w:r>
        <w:rPr>
          <w:rFonts w:hint="eastAsia"/>
          <w:color w:val="auto"/>
          <w:lang w:val="en-US" w:eastAsia="zh-CN"/>
        </w:rPr>
        <w:fldChar w:fldCharType="end"/>
      </w:r>
    </w:p>
    <w:p w14:paraId="0B0511EF">
      <w:pPr>
        <w:pStyle w:val="14"/>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_Toc20095 </w:instrText>
      </w:r>
      <w:r>
        <w:rPr>
          <w:rFonts w:hint="eastAsia"/>
          <w:color w:val="auto"/>
          <w:lang w:val="en-US" w:eastAsia="zh-CN"/>
        </w:rPr>
        <w:fldChar w:fldCharType="separate"/>
      </w:r>
      <w:r>
        <w:rPr>
          <w:rFonts w:hint="default"/>
          <w:color w:val="auto"/>
          <w:lang w:val="en-US" w:eastAsia="zh-CN"/>
        </w:rPr>
        <w:t>2.</w:t>
      </w:r>
      <w:r>
        <w:rPr>
          <w:rFonts w:hint="eastAsia"/>
          <w:color w:val="auto"/>
          <w:lang w:val="en-US" w:eastAsia="zh-CN"/>
        </w:rPr>
        <w:t>4</w:t>
      </w:r>
      <w:r>
        <w:rPr>
          <w:rFonts w:hint="default"/>
          <w:color w:val="auto"/>
          <w:lang w:val="en-US" w:eastAsia="zh-CN"/>
        </w:rPr>
        <w:t xml:space="preserve"> 矿山生产现状</w:t>
      </w:r>
      <w:r>
        <w:rPr>
          <w:color w:val="auto"/>
        </w:rPr>
        <w:tab/>
      </w:r>
      <w:r>
        <w:rPr>
          <w:color w:val="auto"/>
        </w:rPr>
        <w:fldChar w:fldCharType="begin"/>
      </w:r>
      <w:r>
        <w:rPr>
          <w:color w:val="auto"/>
        </w:rPr>
        <w:instrText xml:space="preserve"> PAGEREF _Toc20095 \h </w:instrText>
      </w:r>
      <w:r>
        <w:rPr>
          <w:color w:val="auto"/>
        </w:rPr>
        <w:fldChar w:fldCharType="separate"/>
      </w:r>
      <w:r>
        <w:rPr>
          <w:color w:val="auto"/>
        </w:rPr>
        <w:t>24</w:t>
      </w:r>
      <w:r>
        <w:rPr>
          <w:color w:val="auto"/>
        </w:rPr>
        <w:fldChar w:fldCharType="end"/>
      </w:r>
      <w:r>
        <w:rPr>
          <w:rFonts w:hint="eastAsia"/>
          <w:color w:val="auto"/>
          <w:lang w:val="en-US" w:eastAsia="zh-CN"/>
        </w:rPr>
        <w:fldChar w:fldCharType="end"/>
      </w:r>
    </w:p>
    <w:p w14:paraId="0CA64D8E">
      <w:pPr>
        <w:pStyle w:val="10"/>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_Toc5979 </w:instrText>
      </w:r>
      <w:r>
        <w:rPr>
          <w:rFonts w:hint="eastAsia"/>
          <w:color w:val="auto"/>
          <w:lang w:val="en-US" w:eastAsia="zh-CN"/>
        </w:rPr>
        <w:fldChar w:fldCharType="separate"/>
      </w:r>
      <w:r>
        <w:rPr>
          <w:rFonts w:hint="eastAsia"/>
          <w:color w:val="auto"/>
          <w:lang w:val="en-US" w:eastAsia="zh-CN"/>
        </w:rPr>
        <w:t>2.4.1 设计情况</w:t>
      </w:r>
      <w:r>
        <w:rPr>
          <w:color w:val="auto"/>
        </w:rPr>
        <w:tab/>
      </w:r>
      <w:r>
        <w:rPr>
          <w:color w:val="auto"/>
        </w:rPr>
        <w:fldChar w:fldCharType="begin"/>
      </w:r>
      <w:r>
        <w:rPr>
          <w:color w:val="auto"/>
        </w:rPr>
        <w:instrText xml:space="preserve"> PAGEREF _Toc5979 \h </w:instrText>
      </w:r>
      <w:r>
        <w:rPr>
          <w:color w:val="auto"/>
        </w:rPr>
        <w:fldChar w:fldCharType="separate"/>
      </w:r>
      <w:r>
        <w:rPr>
          <w:color w:val="auto"/>
        </w:rPr>
        <w:t>24</w:t>
      </w:r>
      <w:r>
        <w:rPr>
          <w:color w:val="auto"/>
        </w:rPr>
        <w:fldChar w:fldCharType="end"/>
      </w:r>
      <w:r>
        <w:rPr>
          <w:rFonts w:hint="eastAsia"/>
          <w:color w:val="auto"/>
          <w:lang w:val="en-US" w:eastAsia="zh-CN"/>
        </w:rPr>
        <w:fldChar w:fldCharType="end"/>
      </w:r>
    </w:p>
    <w:p w14:paraId="739B15BC">
      <w:pPr>
        <w:pStyle w:val="10"/>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_Toc26322 </w:instrText>
      </w:r>
      <w:r>
        <w:rPr>
          <w:rFonts w:hint="eastAsia"/>
          <w:color w:val="auto"/>
          <w:lang w:val="en-US" w:eastAsia="zh-CN"/>
        </w:rPr>
        <w:fldChar w:fldCharType="separate"/>
      </w:r>
      <w:r>
        <w:rPr>
          <w:rFonts w:hint="default"/>
          <w:color w:val="auto"/>
          <w:lang w:val="en-US" w:eastAsia="zh-CN"/>
        </w:rPr>
        <w:t>2.</w:t>
      </w:r>
      <w:r>
        <w:rPr>
          <w:rFonts w:hint="eastAsia"/>
          <w:color w:val="auto"/>
          <w:lang w:val="en-US" w:eastAsia="zh-CN"/>
        </w:rPr>
        <w:t>4</w:t>
      </w:r>
      <w:r>
        <w:rPr>
          <w:rFonts w:hint="default"/>
          <w:color w:val="auto"/>
          <w:lang w:val="en-US" w:eastAsia="zh-CN"/>
        </w:rPr>
        <w:t>.</w:t>
      </w:r>
      <w:r>
        <w:rPr>
          <w:rFonts w:hint="eastAsia"/>
          <w:color w:val="auto"/>
          <w:lang w:val="en-US" w:eastAsia="zh-CN"/>
        </w:rPr>
        <w:t>2</w:t>
      </w:r>
      <w:r>
        <w:rPr>
          <w:rFonts w:hint="default"/>
          <w:color w:val="auto"/>
          <w:lang w:val="en-US" w:eastAsia="zh-CN"/>
        </w:rPr>
        <w:t xml:space="preserve"> 矿山开采上轮许可状况</w:t>
      </w:r>
      <w:r>
        <w:rPr>
          <w:color w:val="auto"/>
        </w:rPr>
        <w:tab/>
      </w:r>
      <w:r>
        <w:rPr>
          <w:color w:val="auto"/>
        </w:rPr>
        <w:fldChar w:fldCharType="begin"/>
      </w:r>
      <w:r>
        <w:rPr>
          <w:color w:val="auto"/>
        </w:rPr>
        <w:instrText xml:space="preserve"> PAGEREF _Toc26322 \h </w:instrText>
      </w:r>
      <w:r>
        <w:rPr>
          <w:color w:val="auto"/>
        </w:rPr>
        <w:fldChar w:fldCharType="separate"/>
      </w:r>
      <w:r>
        <w:rPr>
          <w:color w:val="auto"/>
        </w:rPr>
        <w:t>25</w:t>
      </w:r>
      <w:r>
        <w:rPr>
          <w:color w:val="auto"/>
        </w:rPr>
        <w:fldChar w:fldCharType="end"/>
      </w:r>
      <w:r>
        <w:rPr>
          <w:rFonts w:hint="eastAsia"/>
          <w:color w:val="auto"/>
          <w:lang w:val="en-US" w:eastAsia="zh-CN"/>
        </w:rPr>
        <w:fldChar w:fldCharType="end"/>
      </w:r>
    </w:p>
    <w:p w14:paraId="69F51B55">
      <w:pPr>
        <w:pStyle w:val="10"/>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_Toc2807 </w:instrText>
      </w:r>
      <w:r>
        <w:rPr>
          <w:rFonts w:hint="eastAsia"/>
          <w:color w:val="auto"/>
          <w:lang w:val="en-US" w:eastAsia="zh-CN"/>
        </w:rPr>
        <w:fldChar w:fldCharType="separate"/>
      </w:r>
      <w:r>
        <w:rPr>
          <w:rFonts w:hint="default"/>
          <w:color w:val="auto"/>
          <w:lang w:val="en-US" w:eastAsia="zh-CN"/>
        </w:rPr>
        <w:t>2.</w:t>
      </w:r>
      <w:r>
        <w:rPr>
          <w:rFonts w:hint="eastAsia"/>
          <w:color w:val="auto"/>
          <w:lang w:val="en-US" w:eastAsia="zh-CN"/>
        </w:rPr>
        <w:t>4</w:t>
      </w:r>
      <w:r>
        <w:rPr>
          <w:rFonts w:hint="default"/>
          <w:color w:val="auto"/>
          <w:lang w:val="en-US" w:eastAsia="zh-CN"/>
        </w:rPr>
        <w:t>.</w:t>
      </w:r>
      <w:r>
        <w:rPr>
          <w:rFonts w:hint="eastAsia"/>
          <w:color w:val="auto"/>
          <w:lang w:val="en-US" w:eastAsia="zh-CN"/>
        </w:rPr>
        <w:t>3</w:t>
      </w:r>
      <w:r>
        <w:rPr>
          <w:rFonts w:hint="default"/>
          <w:color w:val="auto"/>
          <w:lang w:val="en-US" w:eastAsia="zh-CN"/>
        </w:rPr>
        <w:t xml:space="preserve"> 生产规模及工作制度</w:t>
      </w:r>
      <w:r>
        <w:rPr>
          <w:color w:val="auto"/>
        </w:rPr>
        <w:tab/>
      </w:r>
      <w:r>
        <w:rPr>
          <w:color w:val="auto"/>
        </w:rPr>
        <w:fldChar w:fldCharType="begin"/>
      </w:r>
      <w:r>
        <w:rPr>
          <w:color w:val="auto"/>
        </w:rPr>
        <w:instrText xml:space="preserve"> PAGEREF _Toc2807 \h </w:instrText>
      </w:r>
      <w:r>
        <w:rPr>
          <w:color w:val="auto"/>
        </w:rPr>
        <w:fldChar w:fldCharType="separate"/>
      </w:r>
      <w:r>
        <w:rPr>
          <w:color w:val="auto"/>
        </w:rPr>
        <w:t>26</w:t>
      </w:r>
      <w:r>
        <w:rPr>
          <w:color w:val="auto"/>
        </w:rPr>
        <w:fldChar w:fldCharType="end"/>
      </w:r>
      <w:r>
        <w:rPr>
          <w:rFonts w:hint="eastAsia"/>
          <w:color w:val="auto"/>
          <w:lang w:val="en-US" w:eastAsia="zh-CN"/>
        </w:rPr>
        <w:fldChar w:fldCharType="end"/>
      </w:r>
    </w:p>
    <w:p w14:paraId="5AA64C04">
      <w:pPr>
        <w:pStyle w:val="10"/>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_Toc29912 </w:instrText>
      </w:r>
      <w:r>
        <w:rPr>
          <w:rFonts w:hint="eastAsia"/>
          <w:color w:val="auto"/>
          <w:lang w:val="en-US" w:eastAsia="zh-CN"/>
        </w:rPr>
        <w:fldChar w:fldCharType="separate"/>
      </w:r>
      <w:r>
        <w:rPr>
          <w:rFonts w:hint="default"/>
          <w:color w:val="auto"/>
          <w:lang w:val="en-US" w:eastAsia="zh-CN"/>
        </w:rPr>
        <w:t>2.</w:t>
      </w:r>
      <w:r>
        <w:rPr>
          <w:rFonts w:hint="eastAsia"/>
          <w:color w:val="auto"/>
          <w:lang w:val="en-US" w:eastAsia="zh-CN"/>
        </w:rPr>
        <w:t>4</w:t>
      </w:r>
      <w:r>
        <w:rPr>
          <w:rFonts w:hint="default"/>
          <w:color w:val="auto"/>
          <w:lang w:val="en-US" w:eastAsia="zh-CN"/>
        </w:rPr>
        <w:t>.</w:t>
      </w:r>
      <w:r>
        <w:rPr>
          <w:rFonts w:hint="eastAsia"/>
          <w:color w:val="auto"/>
          <w:lang w:val="en-US" w:eastAsia="zh-CN"/>
        </w:rPr>
        <w:t>4</w:t>
      </w:r>
      <w:r>
        <w:rPr>
          <w:rFonts w:hint="default"/>
          <w:color w:val="auto"/>
          <w:lang w:val="en-US" w:eastAsia="zh-CN"/>
        </w:rPr>
        <w:t xml:space="preserve"> 总图运输</w:t>
      </w:r>
      <w:r>
        <w:rPr>
          <w:color w:val="auto"/>
        </w:rPr>
        <w:tab/>
      </w:r>
      <w:r>
        <w:rPr>
          <w:color w:val="auto"/>
        </w:rPr>
        <w:fldChar w:fldCharType="begin"/>
      </w:r>
      <w:r>
        <w:rPr>
          <w:color w:val="auto"/>
        </w:rPr>
        <w:instrText xml:space="preserve"> PAGEREF _Toc29912 \h </w:instrText>
      </w:r>
      <w:r>
        <w:rPr>
          <w:color w:val="auto"/>
        </w:rPr>
        <w:fldChar w:fldCharType="separate"/>
      </w:r>
      <w:r>
        <w:rPr>
          <w:color w:val="auto"/>
        </w:rPr>
        <w:t>26</w:t>
      </w:r>
      <w:r>
        <w:rPr>
          <w:color w:val="auto"/>
        </w:rPr>
        <w:fldChar w:fldCharType="end"/>
      </w:r>
      <w:r>
        <w:rPr>
          <w:rFonts w:hint="eastAsia"/>
          <w:color w:val="auto"/>
          <w:lang w:val="en-US" w:eastAsia="zh-CN"/>
        </w:rPr>
        <w:fldChar w:fldCharType="end"/>
      </w:r>
    </w:p>
    <w:p w14:paraId="0F62E6B5">
      <w:pPr>
        <w:pStyle w:val="10"/>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_Toc19061 </w:instrText>
      </w:r>
      <w:r>
        <w:rPr>
          <w:rFonts w:hint="eastAsia"/>
          <w:color w:val="auto"/>
          <w:lang w:val="en-US" w:eastAsia="zh-CN"/>
        </w:rPr>
        <w:fldChar w:fldCharType="separate"/>
      </w:r>
      <w:r>
        <w:rPr>
          <w:rFonts w:hint="default"/>
          <w:color w:val="auto"/>
          <w:lang w:val="en-US" w:eastAsia="zh-CN"/>
        </w:rPr>
        <w:t>2.</w:t>
      </w:r>
      <w:r>
        <w:rPr>
          <w:rFonts w:hint="eastAsia"/>
          <w:color w:val="auto"/>
          <w:lang w:val="en-US" w:eastAsia="zh-CN"/>
        </w:rPr>
        <w:t>4</w:t>
      </w:r>
      <w:r>
        <w:rPr>
          <w:rFonts w:hint="default"/>
          <w:color w:val="auto"/>
          <w:lang w:val="en-US" w:eastAsia="zh-CN"/>
        </w:rPr>
        <w:t>.</w:t>
      </w:r>
      <w:r>
        <w:rPr>
          <w:rFonts w:hint="eastAsia"/>
          <w:color w:val="auto"/>
          <w:lang w:val="en-US" w:eastAsia="zh-CN"/>
        </w:rPr>
        <w:t>5</w:t>
      </w:r>
      <w:r>
        <w:rPr>
          <w:rFonts w:hint="default"/>
          <w:color w:val="auto"/>
          <w:lang w:val="en-US" w:eastAsia="zh-CN"/>
        </w:rPr>
        <w:t xml:space="preserve"> 开采范围</w:t>
      </w:r>
      <w:r>
        <w:rPr>
          <w:color w:val="auto"/>
        </w:rPr>
        <w:tab/>
      </w:r>
      <w:r>
        <w:rPr>
          <w:color w:val="auto"/>
        </w:rPr>
        <w:fldChar w:fldCharType="begin"/>
      </w:r>
      <w:r>
        <w:rPr>
          <w:color w:val="auto"/>
        </w:rPr>
        <w:instrText xml:space="preserve"> PAGEREF _Toc19061 \h </w:instrText>
      </w:r>
      <w:r>
        <w:rPr>
          <w:color w:val="auto"/>
        </w:rPr>
        <w:fldChar w:fldCharType="separate"/>
      </w:r>
      <w:r>
        <w:rPr>
          <w:color w:val="auto"/>
        </w:rPr>
        <w:t>27</w:t>
      </w:r>
      <w:r>
        <w:rPr>
          <w:color w:val="auto"/>
        </w:rPr>
        <w:fldChar w:fldCharType="end"/>
      </w:r>
      <w:r>
        <w:rPr>
          <w:rFonts w:hint="eastAsia"/>
          <w:color w:val="auto"/>
          <w:lang w:val="en-US" w:eastAsia="zh-CN"/>
        </w:rPr>
        <w:fldChar w:fldCharType="end"/>
      </w:r>
    </w:p>
    <w:p w14:paraId="4D4F8C5A">
      <w:pPr>
        <w:pStyle w:val="10"/>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_Toc3405 </w:instrText>
      </w:r>
      <w:r>
        <w:rPr>
          <w:rFonts w:hint="eastAsia"/>
          <w:color w:val="auto"/>
          <w:lang w:val="en-US" w:eastAsia="zh-CN"/>
        </w:rPr>
        <w:fldChar w:fldCharType="separate"/>
      </w:r>
      <w:r>
        <w:rPr>
          <w:rFonts w:hint="default"/>
          <w:color w:val="auto"/>
          <w:lang w:val="en-US" w:eastAsia="zh-CN"/>
        </w:rPr>
        <w:t>2.</w:t>
      </w:r>
      <w:r>
        <w:rPr>
          <w:rFonts w:hint="eastAsia"/>
          <w:color w:val="auto"/>
          <w:lang w:val="en-US" w:eastAsia="zh-CN"/>
        </w:rPr>
        <w:t>4</w:t>
      </w:r>
      <w:r>
        <w:rPr>
          <w:rFonts w:hint="default"/>
          <w:color w:val="auto"/>
          <w:lang w:val="en-US" w:eastAsia="zh-CN"/>
        </w:rPr>
        <w:t>.</w:t>
      </w:r>
      <w:r>
        <w:rPr>
          <w:rFonts w:hint="eastAsia"/>
          <w:color w:val="auto"/>
          <w:lang w:val="en-US" w:eastAsia="zh-CN"/>
        </w:rPr>
        <w:t>6</w:t>
      </w:r>
      <w:r>
        <w:rPr>
          <w:rFonts w:hint="default"/>
          <w:color w:val="auto"/>
          <w:lang w:val="en-US" w:eastAsia="zh-CN"/>
        </w:rPr>
        <w:t xml:space="preserve"> 开拓运输</w:t>
      </w:r>
      <w:r>
        <w:rPr>
          <w:color w:val="auto"/>
        </w:rPr>
        <w:tab/>
      </w:r>
      <w:r>
        <w:rPr>
          <w:color w:val="auto"/>
        </w:rPr>
        <w:fldChar w:fldCharType="begin"/>
      </w:r>
      <w:r>
        <w:rPr>
          <w:color w:val="auto"/>
        </w:rPr>
        <w:instrText xml:space="preserve"> PAGEREF _Toc3405 \h </w:instrText>
      </w:r>
      <w:r>
        <w:rPr>
          <w:color w:val="auto"/>
        </w:rPr>
        <w:fldChar w:fldCharType="separate"/>
      </w:r>
      <w:r>
        <w:rPr>
          <w:color w:val="auto"/>
        </w:rPr>
        <w:t>27</w:t>
      </w:r>
      <w:r>
        <w:rPr>
          <w:color w:val="auto"/>
        </w:rPr>
        <w:fldChar w:fldCharType="end"/>
      </w:r>
      <w:r>
        <w:rPr>
          <w:rFonts w:hint="eastAsia"/>
          <w:color w:val="auto"/>
          <w:lang w:val="en-US" w:eastAsia="zh-CN"/>
        </w:rPr>
        <w:fldChar w:fldCharType="end"/>
      </w:r>
    </w:p>
    <w:p w14:paraId="494A69F1">
      <w:pPr>
        <w:pStyle w:val="10"/>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_Toc16748 </w:instrText>
      </w:r>
      <w:r>
        <w:rPr>
          <w:rFonts w:hint="eastAsia"/>
          <w:color w:val="auto"/>
          <w:lang w:val="en-US" w:eastAsia="zh-CN"/>
        </w:rPr>
        <w:fldChar w:fldCharType="separate"/>
      </w:r>
      <w:r>
        <w:rPr>
          <w:rFonts w:hint="default"/>
          <w:color w:val="auto"/>
          <w:lang w:val="en-US" w:eastAsia="zh-CN"/>
        </w:rPr>
        <w:t>2.</w:t>
      </w:r>
      <w:r>
        <w:rPr>
          <w:rFonts w:hint="eastAsia"/>
          <w:color w:val="auto"/>
          <w:lang w:val="en-US" w:eastAsia="zh-CN"/>
        </w:rPr>
        <w:t>4</w:t>
      </w:r>
      <w:r>
        <w:rPr>
          <w:rFonts w:hint="default"/>
          <w:color w:val="auto"/>
          <w:lang w:val="en-US" w:eastAsia="zh-CN"/>
        </w:rPr>
        <w:t>.</w:t>
      </w:r>
      <w:r>
        <w:rPr>
          <w:rFonts w:hint="eastAsia"/>
          <w:color w:val="auto"/>
          <w:lang w:val="en-US" w:eastAsia="zh-CN"/>
        </w:rPr>
        <w:t>7</w:t>
      </w:r>
      <w:r>
        <w:rPr>
          <w:rFonts w:hint="default"/>
          <w:color w:val="auto"/>
          <w:lang w:val="en-US" w:eastAsia="zh-CN"/>
        </w:rPr>
        <w:t xml:space="preserve"> 采矿工艺</w:t>
      </w:r>
      <w:r>
        <w:rPr>
          <w:color w:val="auto"/>
        </w:rPr>
        <w:tab/>
      </w:r>
      <w:r>
        <w:rPr>
          <w:color w:val="auto"/>
        </w:rPr>
        <w:fldChar w:fldCharType="begin"/>
      </w:r>
      <w:r>
        <w:rPr>
          <w:color w:val="auto"/>
        </w:rPr>
        <w:instrText xml:space="preserve"> PAGEREF _Toc16748 \h </w:instrText>
      </w:r>
      <w:r>
        <w:rPr>
          <w:color w:val="auto"/>
        </w:rPr>
        <w:fldChar w:fldCharType="separate"/>
      </w:r>
      <w:r>
        <w:rPr>
          <w:color w:val="auto"/>
        </w:rPr>
        <w:t>27</w:t>
      </w:r>
      <w:r>
        <w:rPr>
          <w:color w:val="auto"/>
        </w:rPr>
        <w:fldChar w:fldCharType="end"/>
      </w:r>
      <w:r>
        <w:rPr>
          <w:rFonts w:hint="eastAsia"/>
          <w:color w:val="auto"/>
          <w:lang w:val="en-US" w:eastAsia="zh-CN"/>
        </w:rPr>
        <w:fldChar w:fldCharType="end"/>
      </w:r>
    </w:p>
    <w:p w14:paraId="6D439A8D">
      <w:pPr>
        <w:pStyle w:val="10"/>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_Toc6159 </w:instrText>
      </w:r>
      <w:r>
        <w:rPr>
          <w:rFonts w:hint="eastAsia"/>
          <w:color w:val="auto"/>
          <w:lang w:val="en-US" w:eastAsia="zh-CN"/>
        </w:rPr>
        <w:fldChar w:fldCharType="separate"/>
      </w:r>
      <w:r>
        <w:rPr>
          <w:rFonts w:hint="default"/>
          <w:color w:val="auto"/>
          <w:lang w:val="en-US" w:eastAsia="zh-CN"/>
        </w:rPr>
        <w:t>2.4.</w:t>
      </w:r>
      <w:r>
        <w:rPr>
          <w:rFonts w:hint="eastAsia"/>
          <w:color w:val="auto"/>
          <w:lang w:val="en-US" w:eastAsia="zh-CN"/>
        </w:rPr>
        <w:t>8</w:t>
      </w:r>
      <w:r>
        <w:rPr>
          <w:rFonts w:hint="default"/>
          <w:color w:val="auto"/>
          <w:lang w:val="en-US" w:eastAsia="zh-CN"/>
        </w:rPr>
        <w:t xml:space="preserve"> 矿山通风与防尘</w:t>
      </w:r>
      <w:r>
        <w:rPr>
          <w:color w:val="auto"/>
        </w:rPr>
        <w:tab/>
      </w:r>
      <w:r>
        <w:rPr>
          <w:color w:val="auto"/>
        </w:rPr>
        <w:fldChar w:fldCharType="begin"/>
      </w:r>
      <w:r>
        <w:rPr>
          <w:color w:val="auto"/>
        </w:rPr>
        <w:instrText xml:space="preserve"> PAGEREF _Toc6159 \h </w:instrText>
      </w:r>
      <w:r>
        <w:rPr>
          <w:color w:val="auto"/>
        </w:rPr>
        <w:fldChar w:fldCharType="separate"/>
      </w:r>
      <w:r>
        <w:rPr>
          <w:color w:val="auto"/>
        </w:rPr>
        <w:t>30</w:t>
      </w:r>
      <w:r>
        <w:rPr>
          <w:color w:val="auto"/>
        </w:rPr>
        <w:fldChar w:fldCharType="end"/>
      </w:r>
      <w:r>
        <w:rPr>
          <w:rFonts w:hint="eastAsia"/>
          <w:color w:val="auto"/>
          <w:lang w:val="en-US" w:eastAsia="zh-CN"/>
        </w:rPr>
        <w:fldChar w:fldCharType="end"/>
      </w:r>
    </w:p>
    <w:p w14:paraId="2D2BB9EA">
      <w:pPr>
        <w:pStyle w:val="10"/>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_Toc16470 </w:instrText>
      </w:r>
      <w:r>
        <w:rPr>
          <w:rFonts w:hint="eastAsia"/>
          <w:color w:val="auto"/>
          <w:lang w:val="en-US" w:eastAsia="zh-CN"/>
        </w:rPr>
        <w:fldChar w:fldCharType="separate"/>
      </w:r>
      <w:r>
        <w:rPr>
          <w:rFonts w:hint="default"/>
          <w:color w:val="auto"/>
          <w:lang w:val="en-US" w:eastAsia="zh-CN"/>
        </w:rPr>
        <w:t>2.4.</w:t>
      </w:r>
      <w:r>
        <w:rPr>
          <w:rFonts w:hint="eastAsia"/>
          <w:color w:val="auto"/>
          <w:lang w:val="en-US" w:eastAsia="zh-CN"/>
        </w:rPr>
        <w:t>9</w:t>
      </w:r>
      <w:r>
        <w:rPr>
          <w:rFonts w:hint="default"/>
          <w:color w:val="auto"/>
          <w:lang w:val="en-US" w:eastAsia="zh-CN"/>
        </w:rPr>
        <w:t xml:space="preserve"> 防排水与防灭火</w:t>
      </w:r>
      <w:r>
        <w:rPr>
          <w:color w:val="auto"/>
        </w:rPr>
        <w:tab/>
      </w:r>
      <w:r>
        <w:rPr>
          <w:color w:val="auto"/>
        </w:rPr>
        <w:fldChar w:fldCharType="begin"/>
      </w:r>
      <w:r>
        <w:rPr>
          <w:color w:val="auto"/>
        </w:rPr>
        <w:instrText xml:space="preserve"> PAGEREF _Toc16470 \h </w:instrText>
      </w:r>
      <w:r>
        <w:rPr>
          <w:color w:val="auto"/>
        </w:rPr>
        <w:fldChar w:fldCharType="separate"/>
      </w:r>
      <w:r>
        <w:rPr>
          <w:color w:val="auto"/>
        </w:rPr>
        <w:t>31</w:t>
      </w:r>
      <w:r>
        <w:rPr>
          <w:color w:val="auto"/>
        </w:rPr>
        <w:fldChar w:fldCharType="end"/>
      </w:r>
      <w:r>
        <w:rPr>
          <w:rFonts w:hint="eastAsia"/>
          <w:color w:val="auto"/>
          <w:lang w:val="en-US" w:eastAsia="zh-CN"/>
        </w:rPr>
        <w:fldChar w:fldCharType="end"/>
      </w:r>
    </w:p>
    <w:p w14:paraId="4D3C0C78">
      <w:pPr>
        <w:pStyle w:val="10"/>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_Toc29532 </w:instrText>
      </w:r>
      <w:r>
        <w:rPr>
          <w:rFonts w:hint="eastAsia"/>
          <w:color w:val="auto"/>
          <w:lang w:val="en-US" w:eastAsia="zh-CN"/>
        </w:rPr>
        <w:fldChar w:fldCharType="separate"/>
      </w:r>
      <w:r>
        <w:rPr>
          <w:rFonts w:hint="default"/>
          <w:color w:val="auto"/>
          <w:lang w:val="en-US" w:eastAsia="zh-CN"/>
        </w:rPr>
        <w:t>2.4.</w:t>
      </w:r>
      <w:r>
        <w:rPr>
          <w:rFonts w:hint="eastAsia"/>
          <w:color w:val="auto"/>
          <w:lang w:val="en-US" w:eastAsia="zh-CN"/>
        </w:rPr>
        <w:t xml:space="preserve">10 </w:t>
      </w:r>
      <w:r>
        <w:rPr>
          <w:rFonts w:hint="default"/>
          <w:color w:val="auto"/>
          <w:lang w:val="en-US" w:eastAsia="zh-CN"/>
        </w:rPr>
        <w:t>供电系统</w:t>
      </w:r>
      <w:r>
        <w:rPr>
          <w:color w:val="auto"/>
        </w:rPr>
        <w:tab/>
      </w:r>
      <w:r>
        <w:rPr>
          <w:color w:val="auto"/>
        </w:rPr>
        <w:fldChar w:fldCharType="begin"/>
      </w:r>
      <w:r>
        <w:rPr>
          <w:color w:val="auto"/>
        </w:rPr>
        <w:instrText xml:space="preserve"> PAGEREF _Toc29532 \h </w:instrText>
      </w:r>
      <w:r>
        <w:rPr>
          <w:color w:val="auto"/>
        </w:rPr>
        <w:fldChar w:fldCharType="separate"/>
      </w:r>
      <w:r>
        <w:rPr>
          <w:color w:val="auto"/>
        </w:rPr>
        <w:t>31</w:t>
      </w:r>
      <w:r>
        <w:rPr>
          <w:color w:val="auto"/>
        </w:rPr>
        <w:fldChar w:fldCharType="end"/>
      </w:r>
      <w:r>
        <w:rPr>
          <w:rFonts w:hint="eastAsia"/>
          <w:color w:val="auto"/>
          <w:lang w:val="en-US" w:eastAsia="zh-CN"/>
        </w:rPr>
        <w:fldChar w:fldCharType="end"/>
      </w:r>
    </w:p>
    <w:p w14:paraId="0110E124">
      <w:pPr>
        <w:pStyle w:val="10"/>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_Toc1384 </w:instrText>
      </w:r>
      <w:r>
        <w:rPr>
          <w:rFonts w:hint="eastAsia"/>
          <w:color w:val="auto"/>
          <w:lang w:val="en-US" w:eastAsia="zh-CN"/>
        </w:rPr>
        <w:fldChar w:fldCharType="separate"/>
      </w:r>
      <w:r>
        <w:rPr>
          <w:rFonts w:hint="default"/>
          <w:color w:val="auto"/>
          <w:lang w:val="en-US" w:eastAsia="zh-CN"/>
        </w:rPr>
        <w:t>2.4.</w:t>
      </w:r>
      <w:r>
        <w:rPr>
          <w:rFonts w:hint="eastAsia"/>
          <w:color w:val="auto"/>
          <w:lang w:val="en-US" w:eastAsia="zh-CN"/>
        </w:rPr>
        <w:t xml:space="preserve">11 </w:t>
      </w:r>
      <w:r>
        <w:rPr>
          <w:rFonts w:hint="default"/>
          <w:color w:val="auto"/>
          <w:lang w:val="en-US" w:eastAsia="zh-CN"/>
        </w:rPr>
        <w:t>压风系统</w:t>
      </w:r>
      <w:r>
        <w:rPr>
          <w:color w:val="auto"/>
        </w:rPr>
        <w:tab/>
      </w:r>
      <w:r>
        <w:rPr>
          <w:color w:val="auto"/>
        </w:rPr>
        <w:fldChar w:fldCharType="begin"/>
      </w:r>
      <w:r>
        <w:rPr>
          <w:color w:val="auto"/>
        </w:rPr>
        <w:instrText xml:space="preserve"> PAGEREF _Toc1384 \h </w:instrText>
      </w:r>
      <w:r>
        <w:rPr>
          <w:color w:val="auto"/>
        </w:rPr>
        <w:fldChar w:fldCharType="separate"/>
      </w:r>
      <w:r>
        <w:rPr>
          <w:color w:val="auto"/>
        </w:rPr>
        <w:t>32</w:t>
      </w:r>
      <w:r>
        <w:rPr>
          <w:color w:val="auto"/>
        </w:rPr>
        <w:fldChar w:fldCharType="end"/>
      </w:r>
      <w:r>
        <w:rPr>
          <w:rFonts w:hint="eastAsia"/>
          <w:color w:val="auto"/>
          <w:lang w:val="en-US" w:eastAsia="zh-CN"/>
        </w:rPr>
        <w:fldChar w:fldCharType="end"/>
      </w:r>
    </w:p>
    <w:p w14:paraId="17CD4E81">
      <w:pPr>
        <w:pStyle w:val="10"/>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_Toc478 </w:instrText>
      </w:r>
      <w:r>
        <w:rPr>
          <w:rFonts w:hint="eastAsia"/>
          <w:color w:val="auto"/>
          <w:lang w:val="en-US" w:eastAsia="zh-CN"/>
        </w:rPr>
        <w:fldChar w:fldCharType="separate"/>
      </w:r>
      <w:r>
        <w:rPr>
          <w:rFonts w:hint="default"/>
          <w:color w:val="auto"/>
          <w:lang w:val="en-US" w:eastAsia="zh-CN"/>
        </w:rPr>
        <w:t>2.4.1</w:t>
      </w:r>
      <w:r>
        <w:rPr>
          <w:rFonts w:hint="eastAsia"/>
          <w:color w:val="auto"/>
          <w:lang w:val="en-US" w:eastAsia="zh-CN"/>
        </w:rPr>
        <w:t>2</w:t>
      </w:r>
      <w:r>
        <w:rPr>
          <w:rFonts w:hint="default"/>
          <w:color w:val="auto"/>
          <w:lang w:val="en-US" w:eastAsia="zh-CN"/>
        </w:rPr>
        <w:t xml:space="preserve"> 排土场</w:t>
      </w:r>
      <w:r>
        <w:rPr>
          <w:color w:val="auto"/>
        </w:rPr>
        <w:tab/>
      </w:r>
      <w:r>
        <w:rPr>
          <w:color w:val="auto"/>
        </w:rPr>
        <w:fldChar w:fldCharType="begin"/>
      </w:r>
      <w:r>
        <w:rPr>
          <w:color w:val="auto"/>
        </w:rPr>
        <w:instrText xml:space="preserve"> PAGEREF _Toc478 \h </w:instrText>
      </w:r>
      <w:r>
        <w:rPr>
          <w:color w:val="auto"/>
        </w:rPr>
        <w:fldChar w:fldCharType="separate"/>
      </w:r>
      <w:r>
        <w:rPr>
          <w:color w:val="auto"/>
        </w:rPr>
        <w:t>33</w:t>
      </w:r>
      <w:r>
        <w:rPr>
          <w:color w:val="auto"/>
        </w:rPr>
        <w:fldChar w:fldCharType="end"/>
      </w:r>
      <w:r>
        <w:rPr>
          <w:rFonts w:hint="eastAsia"/>
          <w:color w:val="auto"/>
          <w:lang w:val="en-US" w:eastAsia="zh-CN"/>
        </w:rPr>
        <w:fldChar w:fldCharType="end"/>
      </w:r>
    </w:p>
    <w:p w14:paraId="57F2EDF9">
      <w:pPr>
        <w:pStyle w:val="10"/>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_Toc6362 </w:instrText>
      </w:r>
      <w:r>
        <w:rPr>
          <w:rFonts w:hint="eastAsia"/>
          <w:color w:val="auto"/>
          <w:lang w:val="en-US" w:eastAsia="zh-CN"/>
        </w:rPr>
        <w:fldChar w:fldCharType="separate"/>
      </w:r>
      <w:r>
        <w:rPr>
          <w:rFonts w:hint="default"/>
          <w:color w:val="auto"/>
          <w:lang w:val="en-US" w:eastAsia="zh-CN"/>
        </w:rPr>
        <w:t>2.4.1</w:t>
      </w:r>
      <w:r>
        <w:rPr>
          <w:rFonts w:hint="eastAsia"/>
          <w:color w:val="auto"/>
          <w:lang w:val="en-US" w:eastAsia="zh-CN"/>
        </w:rPr>
        <w:t>3</w:t>
      </w:r>
      <w:r>
        <w:rPr>
          <w:rFonts w:hint="default"/>
          <w:color w:val="auto"/>
          <w:lang w:val="en-US" w:eastAsia="zh-CN"/>
        </w:rPr>
        <w:t xml:space="preserve"> 边坡稳定性分析</w:t>
      </w:r>
      <w:r>
        <w:rPr>
          <w:color w:val="auto"/>
        </w:rPr>
        <w:tab/>
      </w:r>
      <w:r>
        <w:rPr>
          <w:color w:val="auto"/>
        </w:rPr>
        <w:fldChar w:fldCharType="begin"/>
      </w:r>
      <w:r>
        <w:rPr>
          <w:color w:val="auto"/>
        </w:rPr>
        <w:instrText xml:space="preserve"> PAGEREF _Toc6362 \h </w:instrText>
      </w:r>
      <w:r>
        <w:rPr>
          <w:color w:val="auto"/>
        </w:rPr>
        <w:fldChar w:fldCharType="separate"/>
      </w:r>
      <w:r>
        <w:rPr>
          <w:color w:val="auto"/>
        </w:rPr>
        <w:t>33</w:t>
      </w:r>
      <w:r>
        <w:rPr>
          <w:color w:val="auto"/>
        </w:rPr>
        <w:fldChar w:fldCharType="end"/>
      </w:r>
      <w:r>
        <w:rPr>
          <w:rFonts w:hint="eastAsia"/>
          <w:color w:val="auto"/>
          <w:lang w:val="en-US" w:eastAsia="zh-CN"/>
        </w:rPr>
        <w:fldChar w:fldCharType="end"/>
      </w:r>
    </w:p>
    <w:p w14:paraId="4040BE57">
      <w:pPr>
        <w:pStyle w:val="10"/>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_Toc571 </w:instrText>
      </w:r>
      <w:r>
        <w:rPr>
          <w:rFonts w:hint="eastAsia"/>
          <w:color w:val="auto"/>
          <w:lang w:val="en-US" w:eastAsia="zh-CN"/>
        </w:rPr>
        <w:fldChar w:fldCharType="separate"/>
      </w:r>
      <w:r>
        <w:rPr>
          <w:rFonts w:hint="eastAsia"/>
          <w:color w:val="auto"/>
          <w:lang w:val="en-US" w:eastAsia="zh-CN"/>
        </w:rPr>
        <w:t>2.4.14 边坡监测系统</w:t>
      </w:r>
      <w:r>
        <w:rPr>
          <w:color w:val="auto"/>
        </w:rPr>
        <w:tab/>
      </w:r>
      <w:r>
        <w:rPr>
          <w:color w:val="auto"/>
        </w:rPr>
        <w:fldChar w:fldCharType="begin"/>
      </w:r>
      <w:r>
        <w:rPr>
          <w:color w:val="auto"/>
        </w:rPr>
        <w:instrText xml:space="preserve"> PAGEREF _Toc571 \h </w:instrText>
      </w:r>
      <w:r>
        <w:rPr>
          <w:color w:val="auto"/>
        </w:rPr>
        <w:fldChar w:fldCharType="separate"/>
      </w:r>
      <w:r>
        <w:rPr>
          <w:color w:val="auto"/>
        </w:rPr>
        <w:t>41</w:t>
      </w:r>
      <w:r>
        <w:rPr>
          <w:color w:val="auto"/>
        </w:rPr>
        <w:fldChar w:fldCharType="end"/>
      </w:r>
      <w:r>
        <w:rPr>
          <w:rFonts w:hint="eastAsia"/>
          <w:color w:val="auto"/>
          <w:lang w:val="en-US" w:eastAsia="zh-CN"/>
        </w:rPr>
        <w:fldChar w:fldCharType="end"/>
      </w:r>
    </w:p>
    <w:p w14:paraId="1DC8C347">
      <w:pPr>
        <w:pStyle w:val="10"/>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_Toc200 </w:instrText>
      </w:r>
      <w:r>
        <w:rPr>
          <w:rFonts w:hint="eastAsia"/>
          <w:color w:val="auto"/>
          <w:lang w:val="en-US" w:eastAsia="zh-CN"/>
        </w:rPr>
        <w:fldChar w:fldCharType="separate"/>
      </w:r>
      <w:r>
        <w:rPr>
          <w:rFonts w:hint="eastAsia"/>
          <w:color w:val="auto"/>
          <w:lang w:val="en-US" w:eastAsia="zh-CN"/>
        </w:rPr>
        <w:t>2.4.15 主要生产设备</w:t>
      </w:r>
      <w:r>
        <w:rPr>
          <w:color w:val="auto"/>
        </w:rPr>
        <w:tab/>
      </w:r>
      <w:r>
        <w:rPr>
          <w:color w:val="auto"/>
        </w:rPr>
        <w:fldChar w:fldCharType="begin"/>
      </w:r>
      <w:r>
        <w:rPr>
          <w:color w:val="auto"/>
        </w:rPr>
        <w:instrText xml:space="preserve"> PAGEREF _Toc200 \h </w:instrText>
      </w:r>
      <w:r>
        <w:rPr>
          <w:color w:val="auto"/>
        </w:rPr>
        <w:fldChar w:fldCharType="separate"/>
      </w:r>
      <w:r>
        <w:rPr>
          <w:color w:val="auto"/>
        </w:rPr>
        <w:t>41</w:t>
      </w:r>
      <w:r>
        <w:rPr>
          <w:color w:val="auto"/>
        </w:rPr>
        <w:fldChar w:fldCharType="end"/>
      </w:r>
      <w:r>
        <w:rPr>
          <w:rFonts w:hint="eastAsia"/>
          <w:color w:val="auto"/>
          <w:lang w:val="en-US" w:eastAsia="zh-CN"/>
        </w:rPr>
        <w:fldChar w:fldCharType="end"/>
      </w:r>
    </w:p>
    <w:p w14:paraId="32CFDFDB">
      <w:pPr>
        <w:pStyle w:val="14"/>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_Toc17411 </w:instrText>
      </w:r>
      <w:r>
        <w:rPr>
          <w:rFonts w:hint="eastAsia"/>
          <w:color w:val="auto"/>
          <w:lang w:val="en-US" w:eastAsia="zh-CN"/>
        </w:rPr>
        <w:fldChar w:fldCharType="separate"/>
      </w:r>
      <w:r>
        <w:rPr>
          <w:rFonts w:hint="default"/>
          <w:color w:val="auto"/>
          <w:lang w:val="en-US" w:eastAsia="zh-CN"/>
        </w:rPr>
        <w:t>2.5 矿山安全管理</w:t>
      </w:r>
      <w:r>
        <w:rPr>
          <w:color w:val="auto"/>
        </w:rPr>
        <w:tab/>
      </w:r>
      <w:r>
        <w:rPr>
          <w:color w:val="auto"/>
        </w:rPr>
        <w:fldChar w:fldCharType="begin"/>
      </w:r>
      <w:r>
        <w:rPr>
          <w:color w:val="auto"/>
        </w:rPr>
        <w:instrText xml:space="preserve"> PAGEREF _Toc17411 \h </w:instrText>
      </w:r>
      <w:r>
        <w:rPr>
          <w:color w:val="auto"/>
        </w:rPr>
        <w:fldChar w:fldCharType="separate"/>
      </w:r>
      <w:r>
        <w:rPr>
          <w:color w:val="auto"/>
        </w:rPr>
        <w:t>42</w:t>
      </w:r>
      <w:r>
        <w:rPr>
          <w:color w:val="auto"/>
        </w:rPr>
        <w:fldChar w:fldCharType="end"/>
      </w:r>
      <w:r>
        <w:rPr>
          <w:rFonts w:hint="eastAsia"/>
          <w:color w:val="auto"/>
          <w:lang w:val="en-US" w:eastAsia="zh-CN"/>
        </w:rPr>
        <w:fldChar w:fldCharType="end"/>
      </w:r>
    </w:p>
    <w:p w14:paraId="323F23BE">
      <w:pPr>
        <w:pStyle w:val="10"/>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_Toc12505 </w:instrText>
      </w:r>
      <w:r>
        <w:rPr>
          <w:rFonts w:hint="eastAsia"/>
          <w:color w:val="auto"/>
          <w:lang w:val="en-US" w:eastAsia="zh-CN"/>
        </w:rPr>
        <w:fldChar w:fldCharType="separate"/>
      </w:r>
      <w:r>
        <w:rPr>
          <w:rFonts w:hint="default"/>
          <w:color w:val="auto"/>
          <w:lang w:val="en-US" w:eastAsia="zh-CN"/>
        </w:rPr>
        <w:t>2.5.1 安全生产组织机构</w:t>
      </w:r>
      <w:r>
        <w:rPr>
          <w:color w:val="auto"/>
        </w:rPr>
        <w:tab/>
      </w:r>
      <w:r>
        <w:rPr>
          <w:color w:val="auto"/>
        </w:rPr>
        <w:fldChar w:fldCharType="begin"/>
      </w:r>
      <w:r>
        <w:rPr>
          <w:color w:val="auto"/>
        </w:rPr>
        <w:instrText xml:space="preserve"> PAGEREF _Toc12505 \h </w:instrText>
      </w:r>
      <w:r>
        <w:rPr>
          <w:color w:val="auto"/>
        </w:rPr>
        <w:fldChar w:fldCharType="separate"/>
      </w:r>
      <w:r>
        <w:rPr>
          <w:color w:val="auto"/>
        </w:rPr>
        <w:t>42</w:t>
      </w:r>
      <w:r>
        <w:rPr>
          <w:color w:val="auto"/>
        </w:rPr>
        <w:fldChar w:fldCharType="end"/>
      </w:r>
      <w:r>
        <w:rPr>
          <w:rFonts w:hint="eastAsia"/>
          <w:color w:val="auto"/>
          <w:lang w:val="en-US" w:eastAsia="zh-CN"/>
        </w:rPr>
        <w:fldChar w:fldCharType="end"/>
      </w:r>
    </w:p>
    <w:p w14:paraId="0793D584">
      <w:pPr>
        <w:pStyle w:val="10"/>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_Toc11570 </w:instrText>
      </w:r>
      <w:r>
        <w:rPr>
          <w:rFonts w:hint="eastAsia"/>
          <w:color w:val="auto"/>
          <w:lang w:val="en-US" w:eastAsia="zh-CN"/>
        </w:rPr>
        <w:fldChar w:fldCharType="separate"/>
      </w:r>
      <w:r>
        <w:rPr>
          <w:rFonts w:hint="default"/>
          <w:color w:val="auto"/>
          <w:lang w:val="en-US" w:eastAsia="zh-CN"/>
        </w:rPr>
        <w:t>2.</w:t>
      </w:r>
      <w:r>
        <w:rPr>
          <w:rFonts w:hint="eastAsia"/>
          <w:color w:val="auto"/>
          <w:lang w:val="en-US" w:eastAsia="zh-CN"/>
        </w:rPr>
        <w:t>5</w:t>
      </w:r>
      <w:r>
        <w:rPr>
          <w:rFonts w:hint="default"/>
          <w:color w:val="auto"/>
          <w:lang w:val="en-US" w:eastAsia="zh-CN"/>
        </w:rPr>
        <w:t>.2 安全生产管理规章制度</w:t>
      </w:r>
      <w:r>
        <w:rPr>
          <w:color w:val="auto"/>
        </w:rPr>
        <w:tab/>
      </w:r>
      <w:r>
        <w:rPr>
          <w:color w:val="auto"/>
        </w:rPr>
        <w:fldChar w:fldCharType="begin"/>
      </w:r>
      <w:r>
        <w:rPr>
          <w:color w:val="auto"/>
        </w:rPr>
        <w:instrText xml:space="preserve"> PAGEREF _Toc11570 \h </w:instrText>
      </w:r>
      <w:r>
        <w:rPr>
          <w:color w:val="auto"/>
        </w:rPr>
        <w:fldChar w:fldCharType="separate"/>
      </w:r>
      <w:r>
        <w:rPr>
          <w:color w:val="auto"/>
        </w:rPr>
        <w:t>43</w:t>
      </w:r>
      <w:r>
        <w:rPr>
          <w:color w:val="auto"/>
        </w:rPr>
        <w:fldChar w:fldCharType="end"/>
      </w:r>
      <w:r>
        <w:rPr>
          <w:rFonts w:hint="eastAsia"/>
          <w:color w:val="auto"/>
          <w:lang w:val="en-US" w:eastAsia="zh-CN"/>
        </w:rPr>
        <w:fldChar w:fldCharType="end"/>
      </w:r>
    </w:p>
    <w:p w14:paraId="163AAC85">
      <w:pPr>
        <w:pStyle w:val="10"/>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_Toc31814 </w:instrText>
      </w:r>
      <w:r>
        <w:rPr>
          <w:rFonts w:hint="eastAsia"/>
          <w:color w:val="auto"/>
          <w:lang w:val="en-US" w:eastAsia="zh-CN"/>
        </w:rPr>
        <w:fldChar w:fldCharType="separate"/>
      </w:r>
      <w:r>
        <w:rPr>
          <w:rFonts w:hint="eastAsia"/>
          <w:color w:val="auto"/>
          <w:lang w:val="en-US" w:eastAsia="zh-CN"/>
        </w:rPr>
        <w:t>2.5.3 安全教育培训</w:t>
      </w:r>
      <w:r>
        <w:rPr>
          <w:color w:val="auto"/>
        </w:rPr>
        <w:tab/>
      </w:r>
      <w:r>
        <w:rPr>
          <w:color w:val="auto"/>
        </w:rPr>
        <w:fldChar w:fldCharType="begin"/>
      </w:r>
      <w:r>
        <w:rPr>
          <w:color w:val="auto"/>
        </w:rPr>
        <w:instrText xml:space="preserve"> PAGEREF _Toc31814 \h </w:instrText>
      </w:r>
      <w:r>
        <w:rPr>
          <w:color w:val="auto"/>
        </w:rPr>
        <w:fldChar w:fldCharType="separate"/>
      </w:r>
      <w:r>
        <w:rPr>
          <w:color w:val="auto"/>
        </w:rPr>
        <w:t>43</w:t>
      </w:r>
      <w:r>
        <w:rPr>
          <w:color w:val="auto"/>
        </w:rPr>
        <w:fldChar w:fldCharType="end"/>
      </w:r>
      <w:r>
        <w:rPr>
          <w:rFonts w:hint="eastAsia"/>
          <w:color w:val="auto"/>
          <w:lang w:val="en-US" w:eastAsia="zh-CN"/>
        </w:rPr>
        <w:fldChar w:fldCharType="end"/>
      </w:r>
    </w:p>
    <w:p w14:paraId="06D90CDF">
      <w:pPr>
        <w:pStyle w:val="10"/>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_Toc23713 </w:instrText>
      </w:r>
      <w:r>
        <w:rPr>
          <w:rFonts w:hint="eastAsia"/>
          <w:color w:val="auto"/>
          <w:lang w:val="en-US" w:eastAsia="zh-CN"/>
        </w:rPr>
        <w:fldChar w:fldCharType="separate"/>
      </w:r>
      <w:r>
        <w:rPr>
          <w:rFonts w:hint="default"/>
          <w:color w:val="auto"/>
          <w:lang w:val="en-US" w:eastAsia="zh-CN"/>
        </w:rPr>
        <w:t>2.5.</w:t>
      </w:r>
      <w:r>
        <w:rPr>
          <w:rFonts w:hint="eastAsia"/>
          <w:color w:val="auto"/>
          <w:lang w:val="en-US" w:eastAsia="zh-CN"/>
        </w:rPr>
        <w:t>4</w:t>
      </w:r>
      <w:r>
        <w:rPr>
          <w:rFonts w:hint="default"/>
          <w:color w:val="auto"/>
          <w:lang w:val="en-US" w:eastAsia="zh-CN"/>
        </w:rPr>
        <w:t xml:space="preserve"> 安全标准化运行情况</w:t>
      </w:r>
      <w:r>
        <w:rPr>
          <w:color w:val="auto"/>
        </w:rPr>
        <w:tab/>
      </w:r>
      <w:r>
        <w:rPr>
          <w:color w:val="auto"/>
        </w:rPr>
        <w:fldChar w:fldCharType="begin"/>
      </w:r>
      <w:r>
        <w:rPr>
          <w:color w:val="auto"/>
        </w:rPr>
        <w:instrText xml:space="preserve"> PAGEREF _Toc23713 \h </w:instrText>
      </w:r>
      <w:r>
        <w:rPr>
          <w:color w:val="auto"/>
        </w:rPr>
        <w:fldChar w:fldCharType="separate"/>
      </w:r>
      <w:r>
        <w:rPr>
          <w:color w:val="auto"/>
        </w:rPr>
        <w:t>44</w:t>
      </w:r>
      <w:r>
        <w:rPr>
          <w:color w:val="auto"/>
        </w:rPr>
        <w:fldChar w:fldCharType="end"/>
      </w:r>
      <w:r>
        <w:rPr>
          <w:rFonts w:hint="eastAsia"/>
          <w:color w:val="auto"/>
          <w:lang w:val="en-US" w:eastAsia="zh-CN"/>
        </w:rPr>
        <w:fldChar w:fldCharType="end"/>
      </w:r>
    </w:p>
    <w:p w14:paraId="57F49A40">
      <w:pPr>
        <w:pStyle w:val="10"/>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_Toc17660 </w:instrText>
      </w:r>
      <w:r>
        <w:rPr>
          <w:rFonts w:hint="eastAsia"/>
          <w:color w:val="auto"/>
          <w:lang w:val="en-US" w:eastAsia="zh-CN"/>
        </w:rPr>
        <w:fldChar w:fldCharType="separate"/>
      </w:r>
      <w:r>
        <w:rPr>
          <w:rFonts w:hint="eastAsia"/>
          <w:color w:val="auto"/>
          <w:lang w:val="en-US" w:eastAsia="zh-CN"/>
        </w:rPr>
        <w:t>2.5.5 双重预防机制</w:t>
      </w:r>
      <w:r>
        <w:rPr>
          <w:color w:val="auto"/>
        </w:rPr>
        <w:tab/>
      </w:r>
      <w:r>
        <w:rPr>
          <w:color w:val="auto"/>
        </w:rPr>
        <w:fldChar w:fldCharType="begin"/>
      </w:r>
      <w:r>
        <w:rPr>
          <w:color w:val="auto"/>
        </w:rPr>
        <w:instrText xml:space="preserve"> PAGEREF _Toc17660 \h </w:instrText>
      </w:r>
      <w:r>
        <w:rPr>
          <w:color w:val="auto"/>
        </w:rPr>
        <w:fldChar w:fldCharType="separate"/>
      </w:r>
      <w:r>
        <w:rPr>
          <w:color w:val="auto"/>
        </w:rPr>
        <w:t>44</w:t>
      </w:r>
      <w:r>
        <w:rPr>
          <w:color w:val="auto"/>
        </w:rPr>
        <w:fldChar w:fldCharType="end"/>
      </w:r>
      <w:r>
        <w:rPr>
          <w:rFonts w:hint="eastAsia"/>
          <w:color w:val="auto"/>
          <w:lang w:val="en-US" w:eastAsia="zh-CN"/>
        </w:rPr>
        <w:fldChar w:fldCharType="end"/>
      </w:r>
    </w:p>
    <w:p w14:paraId="0279258B">
      <w:pPr>
        <w:pStyle w:val="10"/>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_Toc22808 </w:instrText>
      </w:r>
      <w:r>
        <w:rPr>
          <w:rFonts w:hint="eastAsia"/>
          <w:color w:val="auto"/>
          <w:lang w:val="en-US" w:eastAsia="zh-CN"/>
        </w:rPr>
        <w:fldChar w:fldCharType="separate"/>
      </w:r>
      <w:r>
        <w:rPr>
          <w:rFonts w:hint="default"/>
          <w:color w:val="auto"/>
          <w:lang w:val="en-US" w:eastAsia="zh-CN"/>
        </w:rPr>
        <w:t>2.</w:t>
      </w:r>
      <w:r>
        <w:rPr>
          <w:rFonts w:hint="eastAsia"/>
          <w:color w:val="auto"/>
          <w:lang w:val="en-US" w:eastAsia="zh-CN"/>
        </w:rPr>
        <w:t>5</w:t>
      </w:r>
      <w:r>
        <w:rPr>
          <w:rFonts w:hint="default"/>
          <w:color w:val="auto"/>
          <w:lang w:val="en-US" w:eastAsia="zh-CN"/>
        </w:rPr>
        <w:t>.6</w:t>
      </w:r>
      <w:r>
        <w:rPr>
          <w:rFonts w:hint="eastAsia"/>
          <w:color w:val="auto"/>
          <w:lang w:val="en-US" w:eastAsia="zh-CN"/>
        </w:rPr>
        <w:t xml:space="preserve"> 安全生产费用</w:t>
      </w:r>
      <w:r>
        <w:rPr>
          <w:color w:val="auto"/>
        </w:rPr>
        <w:tab/>
      </w:r>
      <w:r>
        <w:rPr>
          <w:color w:val="auto"/>
        </w:rPr>
        <w:fldChar w:fldCharType="begin"/>
      </w:r>
      <w:r>
        <w:rPr>
          <w:color w:val="auto"/>
        </w:rPr>
        <w:instrText xml:space="preserve"> PAGEREF _Toc22808 \h </w:instrText>
      </w:r>
      <w:r>
        <w:rPr>
          <w:color w:val="auto"/>
        </w:rPr>
        <w:fldChar w:fldCharType="separate"/>
      </w:r>
      <w:r>
        <w:rPr>
          <w:color w:val="auto"/>
        </w:rPr>
        <w:t>44</w:t>
      </w:r>
      <w:r>
        <w:rPr>
          <w:color w:val="auto"/>
        </w:rPr>
        <w:fldChar w:fldCharType="end"/>
      </w:r>
      <w:r>
        <w:rPr>
          <w:rFonts w:hint="eastAsia"/>
          <w:color w:val="auto"/>
          <w:lang w:val="en-US" w:eastAsia="zh-CN"/>
        </w:rPr>
        <w:fldChar w:fldCharType="end"/>
      </w:r>
    </w:p>
    <w:p w14:paraId="1540E289">
      <w:pPr>
        <w:pStyle w:val="10"/>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_Toc14573 </w:instrText>
      </w:r>
      <w:r>
        <w:rPr>
          <w:rFonts w:hint="eastAsia"/>
          <w:color w:val="auto"/>
          <w:lang w:val="en-US" w:eastAsia="zh-CN"/>
        </w:rPr>
        <w:fldChar w:fldCharType="separate"/>
      </w:r>
      <w:r>
        <w:rPr>
          <w:rFonts w:hint="default"/>
          <w:color w:val="auto"/>
          <w:lang w:val="en-US" w:eastAsia="zh-CN"/>
        </w:rPr>
        <w:t>2.</w:t>
      </w:r>
      <w:r>
        <w:rPr>
          <w:rFonts w:hint="eastAsia"/>
          <w:color w:val="auto"/>
          <w:lang w:val="en-US" w:eastAsia="zh-CN"/>
        </w:rPr>
        <w:t>5</w:t>
      </w:r>
      <w:r>
        <w:rPr>
          <w:rFonts w:hint="default"/>
          <w:color w:val="auto"/>
          <w:lang w:val="en-US" w:eastAsia="zh-CN"/>
        </w:rPr>
        <w:t>.</w:t>
      </w:r>
      <w:r>
        <w:rPr>
          <w:rFonts w:hint="eastAsia"/>
          <w:color w:val="auto"/>
          <w:lang w:val="en-US" w:eastAsia="zh-CN"/>
        </w:rPr>
        <w:t xml:space="preserve">7 </w:t>
      </w:r>
      <w:r>
        <w:rPr>
          <w:rFonts w:hint="default"/>
          <w:color w:val="auto"/>
          <w:lang w:val="en-US" w:eastAsia="zh-CN"/>
        </w:rPr>
        <w:t>应急救援</w:t>
      </w:r>
      <w:r>
        <w:rPr>
          <w:color w:val="auto"/>
        </w:rPr>
        <w:tab/>
      </w:r>
      <w:r>
        <w:rPr>
          <w:color w:val="auto"/>
        </w:rPr>
        <w:fldChar w:fldCharType="begin"/>
      </w:r>
      <w:r>
        <w:rPr>
          <w:color w:val="auto"/>
        </w:rPr>
        <w:instrText xml:space="preserve"> PAGEREF _Toc14573 \h </w:instrText>
      </w:r>
      <w:r>
        <w:rPr>
          <w:color w:val="auto"/>
        </w:rPr>
        <w:fldChar w:fldCharType="separate"/>
      </w:r>
      <w:r>
        <w:rPr>
          <w:color w:val="auto"/>
        </w:rPr>
        <w:t>45</w:t>
      </w:r>
      <w:r>
        <w:rPr>
          <w:color w:val="auto"/>
        </w:rPr>
        <w:fldChar w:fldCharType="end"/>
      </w:r>
      <w:r>
        <w:rPr>
          <w:rFonts w:hint="eastAsia"/>
          <w:color w:val="auto"/>
          <w:lang w:val="en-US" w:eastAsia="zh-CN"/>
        </w:rPr>
        <w:fldChar w:fldCharType="end"/>
      </w:r>
    </w:p>
    <w:p w14:paraId="690532CC">
      <w:pPr>
        <w:pStyle w:val="10"/>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_Toc31203 </w:instrText>
      </w:r>
      <w:r>
        <w:rPr>
          <w:rFonts w:hint="eastAsia"/>
          <w:color w:val="auto"/>
          <w:lang w:val="en-US" w:eastAsia="zh-CN"/>
        </w:rPr>
        <w:fldChar w:fldCharType="separate"/>
      </w:r>
      <w:r>
        <w:rPr>
          <w:rFonts w:hint="default"/>
          <w:color w:val="auto"/>
          <w:lang w:val="en-US" w:eastAsia="zh-CN"/>
        </w:rPr>
        <w:t>2.</w:t>
      </w:r>
      <w:r>
        <w:rPr>
          <w:rFonts w:hint="eastAsia"/>
          <w:color w:val="auto"/>
          <w:lang w:val="en-US" w:eastAsia="zh-CN"/>
        </w:rPr>
        <w:t>5</w:t>
      </w:r>
      <w:r>
        <w:rPr>
          <w:rFonts w:hint="default"/>
          <w:color w:val="auto"/>
          <w:lang w:val="en-US" w:eastAsia="zh-CN"/>
        </w:rPr>
        <w:t>.</w:t>
      </w:r>
      <w:r>
        <w:rPr>
          <w:rFonts w:hint="eastAsia"/>
          <w:color w:val="auto"/>
          <w:lang w:val="en-US" w:eastAsia="zh-CN"/>
        </w:rPr>
        <w:t xml:space="preserve">8 </w:t>
      </w:r>
      <w:r>
        <w:rPr>
          <w:rFonts w:hint="default"/>
          <w:color w:val="auto"/>
          <w:lang w:val="en-US" w:eastAsia="zh-CN"/>
        </w:rPr>
        <w:t>安全生产状况</w:t>
      </w:r>
      <w:bookmarkStart w:id="381" w:name="_GoBack"/>
      <w:bookmarkEnd w:id="381"/>
      <w:r>
        <w:rPr>
          <w:color w:val="auto"/>
        </w:rPr>
        <w:tab/>
      </w:r>
      <w:r>
        <w:rPr>
          <w:color w:val="auto"/>
        </w:rPr>
        <w:fldChar w:fldCharType="begin"/>
      </w:r>
      <w:r>
        <w:rPr>
          <w:color w:val="auto"/>
        </w:rPr>
        <w:instrText xml:space="preserve"> PAGEREF _Toc31203 \h </w:instrText>
      </w:r>
      <w:r>
        <w:rPr>
          <w:color w:val="auto"/>
        </w:rPr>
        <w:fldChar w:fldCharType="separate"/>
      </w:r>
      <w:r>
        <w:rPr>
          <w:color w:val="auto"/>
        </w:rPr>
        <w:t>46</w:t>
      </w:r>
      <w:r>
        <w:rPr>
          <w:color w:val="auto"/>
        </w:rPr>
        <w:fldChar w:fldCharType="end"/>
      </w:r>
      <w:r>
        <w:rPr>
          <w:rFonts w:hint="eastAsia"/>
          <w:color w:val="auto"/>
          <w:lang w:val="en-US" w:eastAsia="zh-CN"/>
        </w:rPr>
        <w:fldChar w:fldCharType="end"/>
      </w:r>
    </w:p>
    <w:p w14:paraId="02AF5644">
      <w:pPr>
        <w:pStyle w:val="10"/>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_Toc14031 </w:instrText>
      </w:r>
      <w:r>
        <w:rPr>
          <w:rFonts w:hint="eastAsia"/>
          <w:color w:val="auto"/>
          <w:lang w:val="en-US" w:eastAsia="zh-CN"/>
        </w:rPr>
        <w:fldChar w:fldCharType="separate"/>
      </w:r>
      <w:r>
        <w:rPr>
          <w:rFonts w:hint="eastAsia"/>
          <w:color w:val="auto"/>
          <w:lang w:val="en-US" w:eastAsia="zh-CN"/>
        </w:rPr>
        <w:t>2.5.9 外包施工单位</w:t>
      </w:r>
      <w:r>
        <w:rPr>
          <w:color w:val="auto"/>
        </w:rPr>
        <w:tab/>
      </w:r>
      <w:r>
        <w:rPr>
          <w:color w:val="auto"/>
        </w:rPr>
        <w:fldChar w:fldCharType="begin"/>
      </w:r>
      <w:r>
        <w:rPr>
          <w:color w:val="auto"/>
        </w:rPr>
        <w:instrText xml:space="preserve"> PAGEREF _Toc14031 \h </w:instrText>
      </w:r>
      <w:r>
        <w:rPr>
          <w:color w:val="auto"/>
        </w:rPr>
        <w:fldChar w:fldCharType="separate"/>
      </w:r>
      <w:r>
        <w:rPr>
          <w:color w:val="auto"/>
        </w:rPr>
        <w:t>46</w:t>
      </w:r>
      <w:r>
        <w:rPr>
          <w:color w:val="auto"/>
        </w:rPr>
        <w:fldChar w:fldCharType="end"/>
      </w:r>
      <w:r>
        <w:rPr>
          <w:rFonts w:hint="eastAsia"/>
          <w:color w:val="auto"/>
          <w:lang w:val="en-US" w:eastAsia="zh-CN"/>
        </w:rPr>
        <w:fldChar w:fldCharType="end"/>
      </w:r>
    </w:p>
    <w:p w14:paraId="7C0F65D2">
      <w:pPr>
        <w:pStyle w:val="14"/>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_Toc23830 </w:instrText>
      </w:r>
      <w:r>
        <w:rPr>
          <w:rFonts w:hint="eastAsia"/>
          <w:color w:val="auto"/>
          <w:lang w:val="en-US" w:eastAsia="zh-CN"/>
        </w:rPr>
        <w:fldChar w:fldCharType="separate"/>
      </w:r>
      <w:r>
        <w:rPr>
          <w:rFonts w:hint="eastAsia"/>
          <w:color w:val="auto"/>
          <w:lang w:val="en-US" w:eastAsia="zh-CN"/>
        </w:rPr>
        <w:t>2.6 隐蔽治灾因素普查</w:t>
      </w:r>
      <w:r>
        <w:rPr>
          <w:color w:val="auto"/>
        </w:rPr>
        <w:tab/>
      </w:r>
      <w:r>
        <w:rPr>
          <w:color w:val="auto"/>
        </w:rPr>
        <w:fldChar w:fldCharType="begin"/>
      </w:r>
      <w:r>
        <w:rPr>
          <w:color w:val="auto"/>
        </w:rPr>
        <w:instrText xml:space="preserve"> PAGEREF _Toc23830 \h </w:instrText>
      </w:r>
      <w:r>
        <w:rPr>
          <w:color w:val="auto"/>
        </w:rPr>
        <w:fldChar w:fldCharType="separate"/>
      </w:r>
      <w:r>
        <w:rPr>
          <w:color w:val="auto"/>
        </w:rPr>
        <w:t>46</w:t>
      </w:r>
      <w:r>
        <w:rPr>
          <w:color w:val="auto"/>
        </w:rPr>
        <w:fldChar w:fldCharType="end"/>
      </w:r>
      <w:r>
        <w:rPr>
          <w:rFonts w:hint="eastAsia"/>
          <w:color w:val="auto"/>
          <w:lang w:val="en-US" w:eastAsia="zh-CN"/>
        </w:rPr>
        <w:fldChar w:fldCharType="end"/>
      </w:r>
    </w:p>
    <w:p w14:paraId="2A1EFEE6">
      <w:pPr>
        <w:pStyle w:val="13"/>
        <w:keepNext w:val="0"/>
        <w:keepLines w:val="0"/>
        <w:pageBreakBefore w:val="0"/>
        <w:widowControl w:val="0"/>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_Toc32209 </w:instrText>
      </w:r>
      <w:r>
        <w:rPr>
          <w:rFonts w:hint="eastAsia"/>
          <w:color w:val="auto"/>
          <w:lang w:val="en-US" w:eastAsia="zh-CN"/>
        </w:rPr>
        <w:fldChar w:fldCharType="separate"/>
      </w:r>
      <w:r>
        <w:rPr>
          <w:rFonts w:hint="default" w:ascii="Times New Roman" w:hAnsi="Times New Roman" w:cs="Times New Roman"/>
          <w:color w:val="auto"/>
          <w:lang w:val="en-US" w:eastAsia="zh-CN"/>
        </w:rPr>
        <w:t>3. 危险、有害因素辨识与分析</w:t>
      </w:r>
      <w:r>
        <w:rPr>
          <w:color w:val="auto"/>
        </w:rPr>
        <w:tab/>
      </w:r>
      <w:r>
        <w:rPr>
          <w:color w:val="auto"/>
        </w:rPr>
        <w:fldChar w:fldCharType="begin"/>
      </w:r>
      <w:r>
        <w:rPr>
          <w:color w:val="auto"/>
        </w:rPr>
        <w:instrText xml:space="preserve"> PAGEREF _Toc32209 \h </w:instrText>
      </w:r>
      <w:r>
        <w:rPr>
          <w:color w:val="auto"/>
        </w:rPr>
        <w:fldChar w:fldCharType="separate"/>
      </w:r>
      <w:r>
        <w:rPr>
          <w:color w:val="auto"/>
        </w:rPr>
        <w:t>47</w:t>
      </w:r>
      <w:r>
        <w:rPr>
          <w:color w:val="auto"/>
        </w:rPr>
        <w:fldChar w:fldCharType="end"/>
      </w:r>
      <w:r>
        <w:rPr>
          <w:rFonts w:hint="eastAsia"/>
          <w:color w:val="auto"/>
          <w:lang w:val="en-US" w:eastAsia="zh-CN"/>
        </w:rPr>
        <w:fldChar w:fldCharType="end"/>
      </w:r>
    </w:p>
    <w:p w14:paraId="110403DF">
      <w:pPr>
        <w:pStyle w:val="14"/>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_Toc8418 </w:instrText>
      </w:r>
      <w:r>
        <w:rPr>
          <w:rFonts w:hint="eastAsia"/>
          <w:color w:val="auto"/>
          <w:lang w:val="en-US" w:eastAsia="zh-CN"/>
        </w:rPr>
        <w:fldChar w:fldCharType="separate"/>
      </w:r>
      <w:r>
        <w:rPr>
          <w:rFonts w:hint="default"/>
          <w:color w:val="auto"/>
          <w:lang w:val="en-US" w:eastAsia="zh-CN"/>
        </w:rPr>
        <w:t>3.1 危险因素辨识</w:t>
      </w:r>
      <w:r>
        <w:rPr>
          <w:color w:val="auto"/>
        </w:rPr>
        <w:tab/>
      </w:r>
      <w:r>
        <w:rPr>
          <w:color w:val="auto"/>
        </w:rPr>
        <w:fldChar w:fldCharType="begin"/>
      </w:r>
      <w:r>
        <w:rPr>
          <w:color w:val="auto"/>
        </w:rPr>
        <w:instrText xml:space="preserve"> PAGEREF _Toc8418 \h </w:instrText>
      </w:r>
      <w:r>
        <w:rPr>
          <w:color w:val="auto"/>
        </w:rPr>
        <w:fldChar w:fldCharType="separate"/>
      </w:r>
      <w:r>
        <w:rPr>
          <w:color w:val="auto"/>
        </w:rPr>
        <w:t>47</w:t>
      </w:r>
      <w:r>
        <w:rPr>
          <w:color w:val="auto"/>
        </w:rPr>
        <w:fldChar w:fldCharType="end"/>
      </w:r>
      <w:r>
        <w:rPr>
          <w:rFonts w:hint="eastAsia"/>
          <w:color w:val="auto"/>
          <w:lang w:val="en-US" w:eastAsia="zh-CN"/>
        </w:rPr>
        <w:fldChar w:fldCharType="end"/>
      </w:r>
    </w:p>
    <w:p w14:paraId="25B3903E">
      <w:pPr>
        <w:pStyle w:val="10"/>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_Toc10263 </w:instrText>
      </w:r>
      <w:r>
        <w:rPr>
          <w:rFonts w:hint="eastAsia"/>
          <w:color w:val="auto"/>
          <w:lang w:val="en-US" w:eastAsia="zh-CN"/>
        </w:rPr>
        <w:fldChar w:fldCharType="separate"/>
      </w:r>
      <w:r>
        <w:rPr>
          <w:rFonts w:hint="default"/>
          <w:color w:val="auto"/>
          <w:lang w:val="en-US" w:eastAsia="zh-CN"/>
        </w:rPr>
        <w:t>3.1.1 火药爆炸</w:t>
      </w:r>
      <w:r>
        <w:rPr>
          <w:color w:val="auto"/>
        </w:rPr>
        <w:tab/>
      </w:r>
      <w:r>
        <w:rPr>
          <w:color w:val="auto"/>
        </w:rPr>
        <w:fldChar w:fldCharType="begin"/>
      </w:r>
      <w:r>
        <w:rPr>
          <w:color w:val="auto"/>
        </w:rPr>
        <w:instrText xml:space="preserve"> PAGEREF _Toc10263 \h </w:instrText>
      </w:r>
      <w:r>
        <w:rPr>
          <w:color w:val="auto"/>
        </w:rPr>
        <w:fldChar w:fldCharType="separate"/>
      </w:r>
      <w:r>
        <w:rPr>
          <w:color w:val="auto"/>
        </w:rPr>
        <w:t>47</w:t>
      </w:r>
      <w:r>
        <w:rPr>
          <w:color w:val="auto"/>
        </w:rPr>
        <w:fldChar w:fldCharType="end"/>
      </w:r>
      <w:r>
        <w:rPr>
          <w:rFonts w:hint="eastAsia"/>
          <w:color w:val="auto"/>
          <w:lang w:val="en-US" w:eastAsia="zh-CN"/>
        </w:rPr>
        <w:fldChar w:fldCharType="end"/>
      </w:r>
    </w:p>
    <w:p w14:paraId="4EB40202">
      <w:pPr>
        <w:pStyle w:val="10"/>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_Toc173 </w:instrText>
      </w:r>
      <w:r>
        <w:rPr>
          <w:rFonts w:hint="eastAsia"/>
          <w:color w:val="auto"/>
          <w:lang w:val="en-US" w:eastAsia="zh-CN"/>
        </w:rPr>
        <w:fldChar w:fldCharType="separate"/>
      </w:r>
      <w:r>
        <w:rPr>
          <w:rFonts w:hint="default"/>
          <w:color w:val="auto"/>
          <w:lang w:val="en-US" w:eastAsia="zh-CN"/>
        </w:rPr>
        <w:t>3.1.2 放炮</w:t>
      </w:r>
      <w:r>
        <w:rPr>
          <w:color w:val="auto"/>
        </w:rPr>
        <w:tab/>
      </w:r>
      <w:r>
        <w:rPr>
          <w:color w:val="auto"/>
        </w:rPr>
        <w:fldChar w:fldCharType="begin"/>
      </w:r>
      <w:r>
        <w:rPr>
          <w:color w:val="auto"/>
        </w:rPr>
        <w:instrText xml:space="preserve"> PAGEREF _Toc173 \h </w:instrText>
      </w:r>
      <w:r>
        <w:rPr>
          <w:color w:val="auto"/>
        </w:rPr>
        <w:fldChar w:fldCharType="separate"/>
      </w:r>
      <w:r>
        <w:rPr>
          <w:color w:val="auto"/>
        </w:rPr>
        <w:t>47</w:t>
      </w:r>
      <w:r>
        <w:rPr>
          <w:color w:val="auto"/>
        </w:rPr>
        <w:fldChar w:fldCharType="end"/>
      </w:r>
      <w:r>
        <w:rPr>
          <w:rFonts w:hint="eastAsia"/>
          <w:color w:val="auto"/>
          <w:lang w:val="en-US" w:eastAsia="zh-CN"/>
        </w:rPr>
        <w:fldChar w:fldCharType="end"/>
      </w:r>
    </w:p>
    <w:p w14:paraId="496D3875">
      <w:pPr>
        <w:pStyle w:val="10"/>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_Toc11772 </w:instrText>
      </w:r>
      <w:r>
        <w:rPr>
          <w:rFonts w:hint="eastAsia"/>
          <w:color w:val="auto"/>
          <w:lang w:val="en-US" w:eastAsia="zh-CN"/>
        </w:rPr>
        <w:fldChar w:fldCharType="separate"/>
      </w:r>
      <w:r>
        <w:rPr>
          <w:rFonts w:hint="default"/>
          <w:color w:val="auto"/>
          <w:lang w:val="en-US" w:eastAsia="zh-CN"/>
        </w:rPr>
        <w:t>3.1.3 容器爆炸</w:t>
      </w:r>
      <w:r>
        <w:rPr>
          <w:color w:val="auto"/>
        </w:rPr>
        <w:tab/>
      </w:r>
      <w:r>
        <w:rPr>
          <w:color w:val="auto"/>
        </w:rPr>
        <w:fldChar w:fldCharType="begin"/>
      </w:r>
      <w:r>
        <w:rPr>
          <w:color w:val="auto"/>
        </w:rPr>
        <w:instrText xml:space="preserve"> PAGEREF _Toc11772 \h </w:instrText>
      </w:r>
      <w:r>
        <w:rPr>
          <w:color w:val="auto"/>
        </w:rPr>
        <w:fldChar w:fldCharType="separate"/>
      </w:r>
      <w:r>
        <w:rPr>
          <w:color w:val="auto"/>
        </w:rPr>
        <w:t>48</w:t>
      </w:r>
      <w:r>
        <w:rPr>
          <w:color w:val="auto"/>
        </w:rPr>
        <w:fldChar w:fldCharType="end"/>
      </w:r>
      <w:r>
        <w:rPr>
          <w:rFonts w:hint="eastAsia"/>
          <w:color w:val="auto"/>
          <w:lang w:val="en-US" w:eastAsia="zh-CN"/>
        </w:rPr>
        <w:fldChar w:fldCharType="end"/>
      </w:r>
    </w:p>
    <w:p w14:paraId="6B73EF40">
      <w:pPr>
        <w:pStyle w:val="10"/>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_Toc15305 </w:instrText>
      </w:r>
      <w:r>
        <w:rPr>
          <w:rFonts w:hint="eastAsia"/>
          <w:color w:val="auto"/>
          <w:lang w:val="en-US" w:eastAsia="zh-CN"/>
        </w:rPr>
        <w:fldChar w:fldCharType="separate"/>
      </w:r>
      <w:r>
        <w:rPr>
          <w:rFonts w:hint="default"/>
          <w:color w:val="auto"/>
          <w:lang w:val="en-US" w:eastAsia="zh-CN"/>
        </w:rPr>
        <w:t>3.1.4 坍塌</w:t>
      </w:r>
      <w:r>
        <w:rPr>
          <w:color w:val="auto"/>
        </w:rPr>
        <w:tab/>
      </w:r>
      <w:r>
        <w:rPr>
          <w:color w:val="auto"/>
        </w:rPr>
        <w:fldChar w:fldCharType="begin"/>
      </w:r>
      <w:r>
        <w:rPr>
          <w:color w:val="auto"/>
        </w:rPr>
        <w:instrText xml:space="preserve"> PAGEREF _Toc15305 \h </w:instrText>
      </w:r>
      <w:r>
        <w:rPr>
          <w:color w:val="auto"/>
        </w:rPr>
        <w:fldChar w:fldCharType="separate"/>
      </w:r>
      <w:r>
        <w:rPr>
          <w:color w:val="auto"/>
        </w:rPr>
        <w:t>48</w:t>
      </w:r>
      <w:r>
        <w:rPr>
          <w:color w:val="auto"/>
        </w:rPr>
        <w:fldChar w:fldCharType="end"/>
      </w:r>
      <w:r>
        <w:rPr>
          <w:rFonts w:hint="eastAsia"/>
          <w:color w:val="auto"/>
          <w:lang w:val="en-US" w:eastAsia="zh-CN"/>
        </w:rPr>
        <w:fldChar w:fldCharType="end"/>
      </w:r>
    </w:p>
    <w:p w14:paraId="2639B515">
      <w:pPr>
        <w:pStyle w:val="10"/>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_Toc24677 </w:instrText>
      </w:r>
      <w:r>
        <w:rPr>
          <w:rFonts w:hint="eastAsia"/>
          <w:color w:val="auto"/>
          <w:lang w:val="en-US" w:eastAsia="zh-CN"/>
        </w:rPr>
        <w:fldChar w:fldCharType="separate"/>
      </w:r>
      <w:r>
        <w:rPr>
          <w:rFonts w:hint="default"/>
          <w:color w:val="auto"/>
          <w:lang w:val="en-US" w:eastAsia="zh-CN"/>
        </w:rPr>
        <w:t>3.1.5 滑坡</w:t>
      </w:r>
      <w:r>
        <w:rPr>
          <w:color w:val="auto"/>
        </w:rPr>
        <w:tab/>
      </w:r>
      <w:r>
        <w:rPr>
          <w:color w:val="auto"/>
        </w:rPr>
        <w:fldChar w:fldCharType="begin"/>
      </w:r>
      <w:r>
        <w:rPr>
          <w:color w:val="auto"/>
        </w:rPr>
        <w:instrText xml:space="preserve"> PAGEREF _Toc24677 \h </w:instrText>
      </w:r>
      <w:r>
        <w:rPr>
          <w:color w:val="auto"/>
        </w:rPr>
        <w:fldChar w:fldCharType="separate"/>
      </w:r>
      <w:r>
        <w:rPr>
          <w:color w:val="auto"/>
        </w:rPr>
        <w:t>48</w:t>
      </w:r>
      <w:r>
        <w:rPr>
          <w:color w:val="auto"/>
        </w:rPr>
        <w:fldChar w:fldCharType="end"/>
      </w:r>
      <w:r>
        <w:rPr>
          <w:rFonts w:hint="eastAsia"/>
          <w:color w:val="auto"/>
          <w:lang w:val="en-US" w:eastAsia="zh-CN"/>
        </w:rPr>
        <w:fldChar w:fldCharType="end"/>
      </w:r>
    </w:p>
    <w:p w14:paraId="0263C1F1">
      <w:pPr>
        <w:pStyle w:val="10"/>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_Toc6906 </w:instrText>
      </w:r>
      <w:r>
        <w:rPr>
          <w:rFonts w:hint="eastAsia"/>
          <w:color w:val="auto"/>
          <w:lang w:val="en-US" w:eastAsia="zh-CN"/>
        </w:rPr>
        <w:fldChar w:fldCharType="separate"/>
      </w:r>
      <w:r>
        <w:rPr>
          <w:rFonts w:hint="default"/>
          <w:color w:val="auto"/>
          <w:lang w:val="en-US" w:eastAsia="zh-CN"/>
        </w:rPr>
        <w:t>3.1.6 机械伤害</w:t>
      </w:r>
      <w:r>
        <w:rPr>
          <w:color w:val="auto"/>
        </w:rPr>
        <w:tab/>
      </w:r>
      <w:r>
        <w:rPr>
          <w:color w:val="auto"/>
        </w:rPr>
        <w:fldChar w:fldCharType="begin"/>
      </w:r>
      <w:r>
        <w:rPr>
          <w:color w:val="auto"/>
        </w:rPr>
        <w:instrText xml:space="preserve"> PAGEREF _Toc6906 \h </w:instrText>
      </w:r>
      <w:r>
        <w:rPr>
          <w:color w:val="auto"/>
        </w:rPr>
        <w:fldChar w:fldCharType="separate"/>
      </w:r>
      <w:r>
        <w:rPr>
          <w:color w:val="auto"/>
        </w:rPr>
        <w:t>49</w:t>
      </w:r>
      <w:r>
        <w:rPr>
          <w:color w:val="auto"/>
        </w:rPr>
        <w:fldChar w:fldCharType="end"/>
      </w:r>
      <w:r>
        <w:rPr>
          <w:rFonts w:hint="eastAsia"/>
          <w:color w:val="auto"/>
          <w:lang w:val="en-US" w:eastAsia="zh-CN"/>
        </w:rPr>
        <w:fldChar w:fldCharType="end"/>
      </w:r>
    </w:p>
    <w:p w14:paraId="190DCACD">
      <w:pPr>
        <w:pStyle w:val="10"/>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_Toc31403 </w:instrText>
      </w:r>
      <w:r>
        <w:rPr>
          <w:rFonts w:hint="eastAsia"/>
          <w:color w:val="auto"/>
          <w:lang w:val="en-US" w:eastAsia="zh-CN"/>
        </w:rPr>
        <w:fldChar w:fldCharType="separate"/>
      </w:r>
      <w:r>
        <w:rPr>
          <w:rFonts w:hint="default"/>
          <w:color w:val="auto"/>
          <w:lang w:val="en-US" w:eastAsia="zh-CN"/>
        </w:rPr>
        <w:t>3.1.7 火灾</w:t>
      </w:r>
      <w:r>
        <w:rPr>
          <w:color w:val="auto"/>
        </w:rPr>
        <w:tab/>
      </w:r>
      <w:r>
        <w:rPr>
          <w:color w:val="auto"/>
        </w:rPr>
        <w:fldChar w:fldCharType="begin"/>
      </w:r>
      <w:r>
        <w:rPr>
          <w:color w:val="auto"/>
        </w:rPr>
        <w:instrText xml:space="preserve"> PAGEREF _Toc31403 \h </w:instrText>
      </w:r>
      <w:r>
        <w:rPr>
          <w:color w:val="auto"/>
        </w:rPr>
        <w:fldChar w:fldCharType="separate"/>
      </w:r>
      <w:r>
        <w:rPr>
          <w:color w:val="auto"/>
        </w:rPr>
        <w:t>49</w:t>
      </w:r>
      <w:r>
        <w:rPr>
          <w:color w:val="auto"/>
        </w:rPr>
        <w:fldChar w:fldCharType="end"/>
      </w:r>
      <w:r>
        <w:rPr>
          <w:rFonts w:hint="eastAsia"/>
          <w:color w:val="auto"/>
          <w:lang w:val="en-US" w:eastAsia="zh-CN"/>
        </w:rPr>
        <w:fldChar w:fldCharType="end"/>
      </w:r>
    </w:p>
    <w:p w14:paraId="31CA3A6C">
      <w:pPr>
        <w:pStyle w:val="10"/>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_Toc21303 </w:instrText>
      </w:r>
      <w:r>
        <w:rPr>
          <w:rFonts w:hint="eastAsia"/>
          <w:color w:val="auto"/>
          <w:lang w:val="en-US" w:eastAsia="zh-CN"/>
        </w:rPr>
        <w:fldChar w:fldCharType="separate"/>
      </w:r>
      <w:r>
        <w:rPr>
          <w:rFonts w:hint="default"/>
          <w:color w:val="auto"/>
          <w:lang w:val="en-US" w:eastAsia="zh-CN"/>
        </w:rPr>
        <w:t>3.1.8 高处坠落</w:t>
      </w:r>
      <w:r>
        <w:rPr>
          <w:color w:val="auto"/>
        </w:rPr>
        <w:tab/>
      </w:r>
      <w:r>
        <w:rPr>
          <w:color w:val="auto"/>
        </w:rPr>
        <w:fldChar w:fldCharType="begin"/>
      </w:r>
      <w:r>
        <w:rPr>
          <w:color w:val="auto"/>
        </w:rPr>
        <w:instrText xml:space="preserve"> PAGEREF _Toc21303 \h </w:instrText>
      </w:r>
      <w:r>
        <w:rPr>
          <w:color w:val="auto"/>
        </w:rPr>
        <w:fldChar w:fldCharType="separate"/>
      </w:r>
      <w:r>
        <w:rPr>
          <w:color w:val="auto"/>
        </w:rPr>
        <w:t>50</w:t>
      </w:r>
      <w:r>
        <w:rPr>
          <w:color w:val="auto"/>
        </w:rPr>
        <w:fldChar w:fldCharType="end"/>
      </w:r>
      <w:r>
        <w:rPr>
          <w:rFonts w:hint="eastAsia"/>
          <w:color w:val="auto"/>
          <w:lang w:val="en-US" w:eastAsia="zh-CN"/>
        </w:rPr>
        <w:fldChar w:fldCharType="end"/>
      </w:r>
    </w:p>
    <w:p w14:paraId="49CF7BE3">
      <w:pPr>
        <w:pStyle w:val="10"/>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_Toc12523 </w:instrText>
      </w:r>
      <w:r>
        <w:rPr>
          <w:rFonts w:hint="eastAsia"/>
          <w:color w:val="auto"/>
          <w:lang w:val="en-US" w:eastAsia="zh-CN"/>
        </w:rPr>
        <w:fldChar w:fldCharType="separate"/>
      </w:r>
      <w:r>
        <w:rPr>
          <w:rFonts w:hint="default"/>
          <w:color w:val="auto"/>
          <w:lang w:val="en-US" w:eastAsia="zh-CN"/>
        </w:rPr>
        <w:t>3.1.9 物体打击</w:t>
      </w:r>
      <w:r>
        <w:rPr>
          <w:color w:val="auto"/>
        </w:rPr>
        <w:tab/>
      </w:r>
      <w:r>
        <w:rPr>
          <w:color w:val="auto"/>
        </w:rPr>
        <w:fldChar w:fldCharType="begin"/>
      </w:r>
      <w:r>
        <w:rPr>
          <w:color w:val="auto"/>
        </w:rPr>
        <w:instrText xml:space="preserve"> PAGEREF _Toc12523 \h </w:instrText>
      </w:r>
      <w:r>
        <w:rPr>
          <w:color w:val="auto"/>
        </w:rPr>
        <w:fldChar w:fldCharType="separate"/>
      </w:r>
      <w:r>
        <w:rPr>
          <w:color w:val="auto"/>
        </w:rPr>
        <w:t>50</w:t>
      </w:r>
      <w:r>
        <w:rPr>
          <w:color w:val="auto"/>
        </w:rPr>
        <w:fldChar w:fldCharType="end"/>
      </w:r>
      <w:r>
        <w:rPr>
          <w:rFonts w:hint="eastAsia"/>
          <w:color w:val="auto"/>
          <w:lang w:val="en-US" w:eastAsia="zh-CN"/>
        </w:rPr>
        <w:fldChar w:fldCharType="end"/>
      </w:r>
    </w:p>
    <w:p w14:paraId="2CFF9115">
      <w:pPr>
        <w:pStyle w:val="10"/>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_Toc14137 </w:instrText>
      </w:r>
      <w:r>
        <w:rPr>
          <w:rFonts w:hint="eastAsia"/>
          <w:color w:val="auto"/>
          <w:lang w:val="en-US" w:eastAsia="zh-CN"/>
        </w:rPr>
        <w:fldChar w:fldCharType="separate"/>
      </w:r>
      <w:r>
        <w:rPr>
          <w:rFonts w:hint="default"/>
          <w:color w:val="auto"/>
          <w:lang w:val="en-US" w:eastAsia="zh-CN"/>
        </w:rPr>
        <w:t>3.1.10 车辆伤害</w:t>
      </w:r>
      <w:r>
        <w:rPr>
          <w:color w:val="auto"/>
        </w:rPr>
        <w:tab/>
      </w:r>
      <w:r>
        <w:rPr>
          <w:color w:val="auto"/>
        </w:rPr>
        <w:fldChar w:fldCharType="begin"/>
      </w:r>
      <w:r>
        <w:rPr>
          <w:color w:val="auto"/>
        </w:rPr>
        <w:instrText xml:space="preserve"> PAGEREF _Toc14137 \h </w:instrText>
      </w:r>
      <w:r>
        <w:rPr>
          <w:color w:val="auto"/>
        </w:rPr>
        <w:fldChar w:fldCharType="separate"/>
      </w:r>
      <w:r>
        <w:rPr>
          <w:color w:val="auto"/>
        </w:rPr>
        <w:t>50</w:t>
      </w:r>
      <w:r>
        <w:rPr>
          <w:color w:val="auto"/>
        </w:rPr>
        <w:fldChar w:fldCharType="end"/>
      </w:r>
      <w:r>
        <w:rPr>
          <w:rFonts w:hint="eastAsia"/>
          <w:color w:val="auto"/>
          <w:lang w:val="en-US" w:eastAsia="zh-CN"/>
        </w:rPr>
        <w:fldChar w:fldCharType="end"/>
      </w:r>
    </w:p>
    <w:p w14:paraId="10ADCFBB">
      <w:pPr>
        <w:pStyle w:val="10"/>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_Toc1467 </w:instrText>
      </w:r>
      <w:r>
        <w:rPr>
          <w:rFonts w:hint="eastAsia"/>
          <w:color w:val="auto"/>
          <w:lang w:val="en-US" w:eastAsia="zh-CN"/>
        </w:rPr>
        <w:fldChar w:fldCharType="separate"/>
      </w:r>
      <w:r>
        <w:rPr>
          <w:rFonts w:hint="default"/>
          <w:color w:val="auto"/>
          <w:lang w:val="en-US" w:eastAsia="zh-CN"/>
        </w:rPr>
        <w:t>3.1.11 触电</w:t>
      </w:r>
      <w:r>
        <w:rPr>
          <w:color w:val="auto"/>
        </w:rPr>
        <w:tab/>
      </w:r>
      <w:r>
        <w:rPr>
          <w:color w:val="auto"/>
        </w:rPr>
        <w:fldChar w:fldCharType="begin"/>
      </w:r>
      <w:r>
        <w:rPr>
          <w:color w:val="auto"/>
        </w:rPr>
        <w:instrText xml:space="preserve"> PAGEREF _Toc1467 \h </w:instrText>
      </w:r>
      <w:r>
        <w:rPr>
          <w:color w:val="auto"/>
        </w:rPr>
        <w:fldChar w:fldCharType="separate"/>
      </w:r>
      <w:r>
        <w:rPr>
          <w:color w:val="auto"/>
        </w:rPr>
        <w:t>51</w:t>
      </w:r>
      <w:r>
        <w:rPr>
          <w:color w:val="auto"/>
        </w:rPr>
        <w:fldChar w:fldCharType="end"/>
      </w:r>
      <w:r>
        <w:rPr>
          <w:rFonts w:hint="eastAsia"/>
          <w:color w:val="auto"/>
          <w:lang w:val="en-US" w:eastAsia="zh-CN"/>
        </w:rPr>
        <w:fldChar w:fldCharType="end"/>
      </w:r>
    </w:p>
    <w:p w14:paraId="4B4B42BD">
      <w:pPr>
        <w:pStyle w:val="10"/>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_Toc30436 </w:instrText>
      </w:r>
      <w:r>
        <w:rPr>
          <w:rFonts w:hint="eastAsia"/>
          <w:color w:val="auto"/>
          <w:lang w:val="en-US" w:eastAsia="zh-CN"/>
        </w:rPr>
        <w:fldChar w:fldCharType="separate"/>
      </w:r>
      <w:r>
        <w:rPr>
          <w:rFonts w:hint="eastAsia"/>
          <w:color w:val="auto"/>
          <w:lang w:val="en-US" w:eastAsia="zh-CN"/>
        </w:rPr>
        <w:t>3.1.12 雷击</w:t>
      </w:r>
      <w:r>
        <w:rPr>
          <w:color w:val="auto"/>
        </w:rPr>
        <w:tab/>
      </w:r>
      <w:r>
        <w:rPr>
          <w:color w:val="auto"/>
        </w:rPr>
        <w:fldChar w:fldCharType="begin"/>
      </w:r>
      <w:r>
        <w:rPr>
          <w:color w:val="auto"/>
        </w:rPr>
        <w:instrText xml:space="preserve"> PAGEREF _Toc30436 \h </w:instrText>
      </w:r>
      <w:r>
        <w:rPr>
          <w:color w:val="auto"/>
        </w:rPr>
        <w:fldChar w:fldCharType="separate"/>
      </w:r>
      <w:r>
        <w:rPr>
          <w:color w:val="auto"/>
        </w:rPr>
        <w:t>51</w:t>
      </w:r>
      <w:r>
        <w:rPr>
          <w:color w:val="auto"/>
        </w:rPr>
        <w:fldChar w:fldCharType="end"/>
      </w:r>
      <w:r>
        <w:rPr>
          <w:rFonts w:hint="eastAsia"/>
          <w:color w:val="auto"/>
          <w:lang w:val="en-US" w:eastAsia="zh-CN"/>
        </w:rPr>
        <w:fldChar w:fldCharType="end"/>
      </w:r>
    </w:p>
    <w:p w14:paraId="578088AB">
      <w:pPr>
        <w:pStyle w:val="14"/>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_Toc19087 </w:instrText>
      </w:r>
      <w:r>
        <w:rPr>
          <w:rFonts w:hint="eastAsia"/>
          <w:color w:val="auto"/>
          <w:lang w:val="en-US" w:eastAsia="zh-CN"/>
        </w:rPr>
        <w:fldChar w:fldCharType="separate"/>
      </w:r>
      <w:r>
        <w:rPr>
          <w:rFonts w:hint="default"/>
          <w:color w:val="auto"/>
          <w:lang w:val="en-US" w:eastAsia="zh-CN"/>
        </w:rPr>
        <w:t>3.2 有害因素分析</w:t>
      </w:r>
      <w:r>
        <w:rPr>
          <w:color w:val="auto"/>
        </w:rPr>
        <w:tab/>
      </w:r>
      <w:r>
        <w:rPr>
          <w:color w:val="auto"/>
        </w:rPr>
        <w:fldChar w:fldCharType="begin"/>
      </w:r>
      <w:r>
        <w:rPr>
          <w:color w:val="auto"/>
        </w:rPr>
        <w:instrText xml:space="preserve"> PAGEREF _Toc19087 \h </w:instrText>
      </w:r>
      <w:r>
        <w:rPr>
          <w:color w:val="auto"/>
        </w:rPr>
        <w:fldChar w:fldCharType="separate"/>
      </w:r>
      <w:r>
        <w:rPr>
          <w:color w:val="auto"/>
        </w:rPr>
        <w:t>52</w:t>
      </w:r>
      <w:r>
        <w:rPr>
          <w:color w:val="auto"/>
        </w:rPr>
        <w:fldChar w:fldCharType="end"/>
      </w:r>
      <w:r>
        <w:rPr>
          <w:rFonts w:hint="eastAsia"/>
          <w:color w:val="auto"/>
          <w:lang w:val="en-US" w:eastAsia="zh-CN"/>
        </w:rPr>
        <w:fldChar w:fldCharType="end"/>
      </w:r>
    </w:p>
    <w:p w14:paraId="7E2722B0">
      <w:pPr>
        <w:pStyle w:val="10"/>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_Toc25225 </w:instrText>
      </w:r>
      <w:r>
        <w:rPr>
          <w:rFonts w:hint="eastAsia"/>
          <w:color w:val="auto"/>
          <w:lang w:val="en-US" w:eastAsia="zh-CN"/>
        </w:rPr>
        <w:fldChar w:fldCharType="separate"/>
      </w:r>
      <w:r>
        <w:rPr>
          <w:rFonts w:hint="default"/>
          <w:color w:val="auto"/>
          <w:lang w:val="en-US" w:eastAsia="zh-CN"/>
        </w:rPr>
        <w:t>3.2.1 粉尘</w:t>
      </w:r>
      <w:r>
        <w:rPr>
          <w:color w:val="auto"/>
        </w:rPr>
        <w:tab/>
      </w:r>
      <w:r>
        <w:rPr>
          <w:color w:val="auto"/>
        </w:rPr>
        <w:fldChar w:fldCharType="begin"/>
      </w:r>
      <w:r>
        <w:rPr>
          <w:color w:val="auto"/>
        </w:rPr>
        <w:instrText xml:space="preserve"> PAGEREF _Toc25225 \h </w:instrText>
      </w:r>
      <w:r>
        <w:rPr>
          <w:color w:val="auto"/>
        </w:rPr>
        <w:fldChar w:fldCharType="separate"/>
      </w:r>
      <w:r>
        <w:rPr>
          <w:color w:val="auto"/>
        </w:rPr>
        <w:t>52</w:t>
      </w:r>
      <w:r>
        <w:rPr>
          <w:color w:val="auto"/>
        </w:rPr>
        <w:fldChar w:fldCharType="end"/>
      </w:r>
      <w:r>
        <w:rPr>
          <w:rFonts w:hint="eastAsia"/>
          <w:color w:val="auto"/>
          <w:lang w:val="en-US" w:eastAsia="zh-CN"/>
        </w:rPr>
        <w:fldChar w:fldCharType="end"/>
      </w:r>
    </w:p>
    <w:p w14:paraId="117DE0C3">
      <w:pPr>
        <w:pStyle w:val="10"/>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_Toc2142 </w:instrText>
      </w:r>
      <w:r>
        <w:rPr>
          <w:rFonts w:hint="eastAsia"/>
          <w:color w:val="auto"/>
          <w:lang w:val="en-US" w:eastAsia="zh-CN"/>
        </w:rPr>
        <w:fldChar w:fldCharType="separate"/>
      </w:r>
      <w:r>
        <w:rPr>
          <w:rFonts w:hint="default"/>
          <w:color w:val="auto"/>
          <w:lang w:val="en-US" w:eastAsia="zh-CN"/>
        </w:rPr>
        <w:t>3.2.2 噪声与振动</w:t>
      </w:r>
      <w:r>
        <w:rPr>
          <w:color w:val="auto"/>
        </w:rPr>
        <w:tab/>
      </w:r>
      <w:r>
        <w:rPr>
          <w:color w:val="auto"/>
        </w:rPr>
        <w:fldChar w:fldCharType="begin"/>
      </w:r>
      <w:r>
        <w:rPr>
          <w:color w:val="auto"/>
        </w:rPr>
        <w:instrText xml:space="preserve"> PAGEREF _Toc2142 \h </w:instrText>
      </w:r>
      <w:r>
        <w:rPr>
          <w:color w:val="auto"/>
        </w:rPr>
        <w:fldChar w:fldCharType="separate"/>
      </w:r>
      <w:r>
        <w:rPr>
          <w:color w:val="auto"/>
        </w:rPr>
        <w:t>52</w:t>
      </w:r>
      <w:r>
        <w:rPr>
          <w:color w:val="auto"/>
        </w:rPr>
        <w:fldChar w:fldCharType="end"/>
      </w:r>
      <w:r>
        <w:rPr>
          <w:rFonts w:hint="eastAsia"/>
          <w:color w:val="auto"/>
          <w:lang w:val="en-US" w:eastAsia="zh-CN"/>
        </w:rPr>
        <w:fldChar w:fldCharType="end"/>
      </w:r>
    </w:p>
    <w:p w14:paraId="12D2DAEB">
      <w:pPr>
        <w:pStyle w:val="10"/>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_Toc6536 </w:instrText>
      </w:r>
      <w:r>
        <w:rPr>
          <w:rFonts w:hint="eastAsia"/>
          <w:color w:val="auto"/>
          <w:lang w:val="en-US" w:eastAsia="zh-CN"/>
        </w:rPr>
        <w:fldChar w:fldCharType="separate"/>
      </w:r>
      <w:r>
        <w:rPr>
          <w:rFonts w:hint="default"/>
          <w:color w:val="auto"/>
          <w:lang w:val="en-US" w:eastAsia="zh-CN"/>
        </w:rPr>
        <w:t>3.</w:t>
      </w:r>
      <w:r>
        <w:rPr>
          <w:rFonts w:hint="eastAsia"/>
          <w:color w:val="auto"/>
          <w:lang w:val="en-US" w:eastAsia="zh-CN"/>
        </w:rPr>
        <w:t>2</w:t>
      </w:r>
      <w:r>
        <w:rPr>
          <w:rFonts w:hint="default"/>
          <w:color w:val="auto"/>
          <w:lang w:val="en-US" w:eastAsia="zh-CN"/>
        </w:rPr>
        <w:t>.</w:t>
      </w:r>
      <w:r>
        <w:rPr>
          <w:rFonts w:hint="eastAsia"/>
          <w:color w:val="auto"/>
          <w:lang w:val="en-US" w:eastAsia="zh-CN"/>
        </w:rPr>
        <w:t xml:space="preserve">3 </w:t>
      </w:r>
      <w:r>
        <w:rPr>
          <w:rFonts w:hint="default"/>
          <w:color w:val="auto"/>
          <w:lang w:val="en-US" w:eastAsia="zh-CN"/>
        </w:rPr>
        <w:t>高低温</w:t>
      </w:r>
      <w:r>
        <w:rPr>
          <w:color w:val="auto"/>
        </w:rPr>
        <w:tab/>
      </w:r>
      <w:r>
        <w:rPr>
          <w:color w:val="auto"/>
        </w:rPr>
        <w:fldChar w:fldCharType="begin"/>
      </w:r>
      <w:r>
        <w:rPr>
          <w:color w:val="auto"/>
        </w:rPr>
        <w:instrText xml:space="preserve"> PAGEREF _Toc6536 \h </w:instrText>
      </w:r>
      <w:r>
        <w:rPr>
          <w:color w:val="auto"/>
        </w:rPr>
        <w:fldChar w:fldCharType="separate"/>
      </w:r>
      <w:r>
        <w:rPr>
          <w:color w:val="auto"/>
        </w:rPr>
        <w:t>53</w:t>
      </w:r>
      <w:r>
        <w:rPr>
          <w:color w:val="auto"/>
        </w:rPr>
        <w:fldChar w:fldCharType="end"/>
      </w:r>
      <w:r>
        <w:rPr>
          <w:rFonts w:hint="eastAsia"/>
          <w:color w:val="auto"/>
          <w:lang w:val="en-US" w:eastAsia="zh-CN"/>
        </w:rPr>
        <w:fldChar w:fldCharType="end"/>
      </w:r>
    </w:p>
    <w:p w14:paraId="3D435D90">
      <w:pPr>
        <w:pStyle w:val="14"/>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_Toc14910 </w:instrText>
      </w:r>
      <w:r>
        <w:rPr>
          <w:rFonts w:hint="eastAsia"/>
          <w:color w:val="auto"/>
          <w:lang w:val="en-US" w:eastAsia="zh-CN"/>
        </w:rPr>
        <w:fldChar w:fldCharType="separate"/>
      </w:r>
      <w:r>
        <w:rPr>
          <w:rFonts w:hint="eastAsia"/>
          <w:color w:val="auto"/>
          <w:lang w:val="en-US" w:eastAsia="zh-CN"/>
        </w:rPr>
        <w:t>3.3 重大危险源辨识</w:t>
      </w:r>
      <w:r>
        <w:rPr>
          <w:color w:val="auto"/>
        </w:rPr>
        <w:tab/>
      </w:r>
      <w:r>
        <w:rPr>
          <w:color w:val="auto"/>
        </w:rPr>
        <w:fldChar w:fldCharType="begin"/>
      </w:r>
      <w:r>
        <w:rPr>
          <w:color w:val="auto"/>
        </w:rPr>
        <w:instrText xml:space="preserve"> PAGEREF _Toc14910 \h </w:instrText>
      </w:r>
      <w:r>
        <w:rPr>
          <w:color w:val="auto"/>
        </w:rPr>
        <w:fldChar w:fldCharType="separate"/>
      </w:r>
      <w:r>
        <w:rPr>
          <w:color w:val="auto"/>
        </w:rPr>
        <w:t>53</w:t>
      </w:r>
      <w:r>
        <w:rPr>
          <w:color w:val="auto"/>
        </w:rPr>
        <w:fldChar w:fldCharType="end"/>
      </w:r>
      <w:r>
        <w:rPr>
          <w:rFonts w:hint="eastAsia"/>
          <w:color w:val="auto"/>
          <w:lang w:val="en-US" w:eastAsia="zh-CN"/>
        </w:rPr>
        <w:fldChar w:fldCharType="end"/>
      </w:r>
    </w:p>
    <w:p w14:paraId="6DB7C98F">
      <w:pPr>
        <w:pStyle w:val="14"/>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_Toc1774 </w:instrText>
      </w:r>
      <w:r>
        <w:rPr>
          <w:rFonts w:hint="eastAsia"/>
          <w:color w:val="auto"/>
          <w:lang w:val="en-US" w:eastAsia="zh-CN"/>
        </w:rPr>
        <w:fldChar w:fldCharType="separate"/>
      </w:r>
      <w:r>
        <w:rPr>
          <w:rFonts w:hint="default"/>
          <w:color w:val="auto"/>
          <w:lang w:val="en-US" w:eastAsia="zh-CN"/>
        </w:rPr>
        <w:t>3.</w:t>
      </w:r>
      <w:r>
        <w:rPr>
          <w:rFonts w:hint="eastAsia"/>
          <w:color w:val="auto"/>
          <w:lang w:val="en-US" w:eastAsia="zh-CN"/>
        </w:rPr>
        <w:t>4</w:t>
      </w:r>
      <w:r>
        <w:rPr>
          <w:rFonts w:hint="default"/>
          <w:color w:val="auto"/>
          <w:lang w:val="en-US" w:eastAsia="zh-CN"/>
        </w:rPr>
        <w:t xml:space="preserve"> 危险、有害因素分析辨识结果</w:t>
      </w:r>
      <w:r>
        <w:rPr>
          <w:color w:val="auto"/>
        </w:rPr>
        <w:tab/>
      </w:r>
      <w:r>
        <w:rPr>
          <w:color w:val="auto"/>
        </w:rPr>
        <w:fldChar w:fldCharType="begin"/>
      </w:r>
      <w:r>
        <w:rPr>
          <w:color w:val="auto"/>
        </w:rPr>
        <w:instrText xml:space="preserve"> PAGEREF _Toc1774 \h </w:instrText>
      </w:r>
      <w:r>
        <w:rPr>
          <w:color w:val="auto"/>
        </w:rPr>
        <w:fldChar w:fldCharType="separate"/>
      </w:r>
      <w:r>
        <w:rPr>
          <w:color w:val="auto"/>
        </w:rPr>
        <w:t>53</w:t>
      </w:r>
      <w:r>
        <w:rPr>
          <w:color w:val="auto"/>
        </w:rPr>
        <w:fldChar w:fldCharType="end"/>
      </w:r>
      <w:r>
        <w:rPr>
          <w:rFonts w:hint="eastAsia"/>
          <w:color w:val="auto"/>
          <w:lang w:val="en-US" w:eastAsia="zh-CN"/>
        </w:rPr>
        <w:fldChar w:fldCharType="end"/>
      </w:r>
    </w:p>
    <w:p w14:paraId="10456933">
      <w:pPr>
        <w:pStyle w:val="13"/>
        <w:keepNext w:val="0"/>
        <w:keepLines w:val="0"/>
        <w:pageBreakBefore w:val="0"/>
        <w:widowControl w:val="0"/>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_Toc21010 </w:instrText>
      </w:r>
      <w:r>
        <w:rPr>
          <w:rFonts w:hint="eastAsia"/>
          <w:color w:val="auto"/>
          <w:lang w:val="en-US" w:eastAsia="zh-CN"/>
        </w:rPr>
        <w:fldChar w:fldCharType="separate"/>
      </w:r>
      <w:r>
        <w:rPr>
          <w:rFonts w:hint="default" w:ascii="Times New Roman" w:hAnsi="Times New Roman" w:cs="Times New Roman"/>
          <w:color w:val="auto"/>
          <w:lang w:val="en-US" w:eastAsia="zh-CN"/>
        </w:rPr>
        <w:t>4. 评价方法选择和评价单元划分</w:t>
      </w:r>
      <w:r>
        <w:rPr>
          <w:color w:val="auto"/>
        </w:rPr>
        <w:tab/>
      </w:r>
      <w:r>
        <w:rPr>
          <w:color w:val="auto"/>
        </w:rPr>
        <w:fldChar w:fldCharType="begin"/>
      </w:r>
      <w:r>
        <w:rPr>
          <w:color w:val="auto"/>
        </w:rPr>
        <w:instrText xml:space="preserve"> PAGEREF _Toc21010 \h </w:instrText>
      </w:r>
      <w:r>
        <w:rPr>
          <w:color w:val="auto"/>
        </w:rPr>
        <w:fldChar w:fldCharType="separate"/>
      </w:r>
      <w:r>
        <w:rPr>
          <w:color w:val="auto"/>
        </w:rPr>
        <w:t>54</w:t>
      </w:r>
      <w:r>
        <w:rPr>
          <w:color w:val="auto"/>
        </w:rPr>
        <w:fldChar w:fldCharType="end"/>
      </w:r>
      <w:r>
        <w:rPr>
          <w:rFonts w:hint="eastAsia"/>
          <w:color w:val="auto"/>
          <w:lang w:val="en-US" w:eastAsia="zh-CN"/>
        </w:rPr>
        <w:fldChar w:fldCharType="end"/>
      </w:r>
    </w:p>
    <w:p w14:paraId="4E22B322">
      <w:pPr>
        <w:pStyle w:val="14"/>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_Toc25592 </w:instrText>
      </w:r>
      <w:r>
        <w:rPr>
          <w:rFonts w:hint="eastAsia"/>
          <w:color w:val="auto"/>
          <w:lang w:val="en-US" w:eastAsia="zh-CN"/>
        </w:rPr>
        <w:fldChar w:fldCharType="separate"/>
      </w:r>
      <w:r>
        <w:rPr>
          <w:rFonts w:hint="eastAsia"/>
          <w:color w:val="auto"/>
          <w:lang w:val="en-US" w:eastAsia="zh-CN"/>
        </w:rPr>
        <w:t>4.1 评价单元划分</w:t>
      </w:r>
      <w:r>
        <w:rPr>
          <w:color w:val="auto"/>
        </w:rPr>
        <w:tab/>
      </w:r>
      <w:r>
        <w:rPr>
          <w:color w:val="auto"/>
        </w:rPr>
        <w:fldChar w:fldCharType="begin"/>
      </w:r>
      <w:r>
        <w:rPr>
          <w:color w:val="auto"/>
        </w:rPr>
        <w:instrText xml:space="preserve"> PAGEREF _Toc25592 \h </w:instrText>
      </w:r>
      <w:r>
        <w:rPr>
          <w:color w:val="auto"/>
        </w:rPr>
        <w:fldChar w:fldCharType="separate"/>
      </w:r>
      <w:r>
        <w:rPr>
          <w:color w:val="auto"/>
        </w:rPr>
        <w:t>54</w:t>
      </w:r>
      <w:r>
        <w:rPr>
          <w:color w:val="auto"/>
        </w:rPr>
        <w:fldChar w:fldCharType="end"/>
      </w:r>
      <w:r>
        <w:rPr>
          <w:rFonts w:hint="eastAsia"/>
          <w:color w:val="auto"/>
          <w:lang w:val="en-US" w:eastAsia="zh-CN"/>
        </w:rPr>
        <w:fldChar w:fldCharType="end"/>
      </w:r>
    </w:p>
    <w:p w14:paraId="0D4C50B8">
      <w:pPr>
        <w:pStyle w:val="14"/>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_Toc32643 </w:instrText>
      </w:r>
      <w:r>
        <w:rPr>
          <w:rFonts w:hint="eastAsia"/>
          <w:color w:val="auto"/>
          <w:lang w:val="en-US" w:eastAsia="zh-CN"/>
        </w:rPr>
        <w:fldChar w:fldCharType="separate"/>
      </w:r>
      <w:r>
        <w:rPr>
          <w:rFonts w:hint="default"/>
          <w:color w:val="auto"/>
          <w:lang w:val="en-US" w:eastAsia="zh-CN"/>
        </w:rPr>
        <w:t>4.</w:t>
      </w:r>
      <w:r>
        <w:rPr>
          <w:rFonts w:hint="eastAsia"/>
          <w:color w:val="auto"/>
          <w:lang w:val="en-US" w:eastAsia="zh-CN"/>
        </w:rPr>
        <w:t>2</w:t>
      </w:r>
      <w:r>
        <w:rPr>
          <w:rFonts w:hint="default"/>
          <w:color w:val="auto"/>
          <w:lang w:val="en-US" w:eastAsia="zh-CN"/>
        </w:rPr>
        <w:t xml:space="preserve"> 评价方法选择</w:t>
      </w:r>
      <w:r>
        <w:rPr>
          <w:color w:val="auto"/>
        </w:rPr>
        <w:tab/>
      </w:r>
      <w:r>
        <w:rPr>
          <w:color w:val="auto"/>
        </w:rPr>
        <w:fldChar w:fldCharType="begin"/>
      </w:r>
      <w:r>
        <w:rPr>
          <w:color w:val="auto"/>
        </w:rPr>
        <w:instrText xml:space="preserve"> PAGEREF _Toc32643 \h </w:instrText>
      </w:r>
      <w:r>
        <w:rPr>
          <w:color w:val="auto"/>
        </w:rPr>
        <w:fldChar w:fldCharType="separate"/>
      </w:r>
      <w:r>
        <w:rPr>
          <w:color w:val="auto"/>
        </w:rPr>
        <w:t>54</w:t>
      </w:r>
      <w:r>
        <w:rPr>
          <w:color w:val="auto"/>
        </w:rPr>
        <w:fldChar w:fldCharType="end"/>
      </w:r>
      <w:r>
        <w:rPr>
          <w:rFonts w:hint="eastAsia"/>
          <w:color w:val="auto"/>
          <w:lang w:val="en-US" w:eastAsia="zh-CN"/>
        </w:rPr>
        <w:fldChar w:fldCharType="end"/>
      </w:r>
    </w:p>
    <w:p w14:paraId="7EA26CAC">
      <w:pPr>
        <w:pStyle w:val="14"/>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_Toc30620 </w:instrText>
      </w:r>
      <w:r>
        <w:rPr>
          <w:rFonts w:hint="eastAsia"/>
          <w:color w:val="auto"/>
          <w:lang w:val="en-US" w:eastAsia="zh-CN"/>
        </w:rPr>
        <w:fldChar w:fldCharType="separate"/>
      </w:r>
      <w:r>
        <w:rPr>
          <w:rFonts w:hint="default"/>
          <w:color w:val="auto"/>
          <w:lang w:val="en-US" w:eastAsia="zh-CN"/>
        </w:rPr>
        <w:t>4.</w:t>
      </w:r>
      <w:r>
        <w:rPr>
          <w:rFonts w:hint="eastAsia"/>
          <w:color w:val="auto"/>
          <w:lang w:val="en-US" w:eastAsia="zh-CN"/>
        </w:rPr>
        <w:t>3</w:t>
      </w:r>
      <w:r>
        <w:rPr>
          <w:rFonts w:hint="default"/>
          <w:color w:val="auto"/>
          <w:lang w:val="en-US" w:eastAsia="zh-CN"/>
        </w:rPr>
        <w:t xml:space="preserve"> 评价方法简介</w:t>
      </w:r>
      <w:r>
        <w:rPr>
          <w:color w:val="auto"/>
        </w:rPr>
        <w:tab/>
      </w:r>
      <w:r>
        <w:rPr>
          <w:color w:val="auto"/>
        </w:rPr>
        <w:fldChar w:fldCharType="begin"/>
      </w:r>
      <w:r>
        <w:rPr>
          <w:color w:val="auto"/>
        </w:rPr>
        <w:instrText xml:space="preserve"> PAGEREF _Toc30620 \h </w:instrText>
      </w:r>
      <w:r>
        <w:rPr>
          <w:color w:val="auto"/>
        </w:rPr>
        <w:fldChar w:fldCharType="separate"/>
      </w:r>
      <w:r>
        <w:rPr>
          <w:color w:val="auto"/>
        </w:rPr>
        <w:t>55</w:t>
      </w:r>
      <w:r>
        <w:rPr>
          <w:color w:val="auto"/>
        </w:rPr>
        <w:fldChar w:fldCharType="end"/>
      </w:r>
      <w:r>
        <w:rPr>
          <w:rFonts w:hint="eastAsia"/>
          <w:color w:val="auto"/>
          <w:lang w:val="en-US" w:eastAsia="zh-CN"/>
        </w:rPr>
        <w:fldChar w:fldCharType="end"/>
      </w:r>
    </w:p>
    <w:p w14:paraId="7B70575C">
      <w:pPr>
        <w:pStyle w:val="10"/>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_Toc13268 </w:instrText>
      </w:r>
      <w:r>
        <w:rPr>
          <w:rFonts w:hint="eastAsia"/>
          <w:color w:val="auto"/>
          <w:lang w:val="en-US" w:eastAsia="zh-CN"/>
        </w:rPr>
        <w:fldChar w:fldCharType="separate"/>
      </w:r>
      <w:r>
        <w:rPr>
          <w:rFonts w:hint="eastAsia"/>
          <w:color w:val="auto"/>
          <w:lang w:val="en-US" w:eastAsia="zh-CN"/>
        </w:rPr>
        <w:t xml:space="preserve">4.3.1 </w:t>
      </w:r>
      <w:r>
        <w:rPr>
          <w:color w:val="auto"/>
        </w:rPr>
        <w:t>安全检查表法</w:t>
      </w:r>
      <w:r>
        <w:rPr>
          <w:color w:val="auto"/>
        </w:rPr>
        <w:tab/>
      </w:r>
      <w:r>
        <w:rPr>
          <w:color w:val="auto"/>
        </w:rPr>
        <w:fldChar w:fldCharType="begin"/>
      </w:r>
      <w:r>
        <w:rPr>
          <w:color w:val="auto"/>
        </w:rPr>
        <w:instrText xml:space="preserve"> PAGEREF _Toc13268 \h </w:instrText>
      </w:r>
      <w:r>
        <w:rPr>
          <w:color w:val="auto"/>
        </w:rPr>
        <w:fldChar w:fldCharType="separate"/>
      </w:r>
      <w:r>
        <w:rPr>
          <w:color w:val="auto"/>
        </w:rPr>
        <w:t>55</w:t>
      </w:r>
      <w:r>
        <w:rPr>
          <w:color w:val="auto"/>
        </w:rPr>
        <w:fldChar w:fldCharType="end"/>
      </w:r>
      <w:r>
        <w:rPr>
          <w:rFonts w:hint="eastAsia"/>
          <w:color w:val="auto"/>
          <w:lang w:val="en-US" w:eastAsia="zh-CN"/>
        </w:rPr>
        <w:fldChar w:fldCharType="end"/>
      </w:r>
    </w:p>
    <w:p w14:paraId="77DD822A">
      <w:pPr>
        <w:pStyle w:val="10"/>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_Toc17298 </w:instrText>
      </w:r>
      <w:r>
        <w:rPr>
          <w:rFonts w:hint="eastAsia"/>
          <w:color w:val="auto"/>
          <w:lang w:val="en-US" w:eastAsia="zh-CN"/>
        </w:rPr>
        <w:fldChar w:fldCharType="separate"/>
      </w:r>
      <w:r>
        <w:rPr>
          <w:rFonts w:hint="default"/>
          <w:color w:val="auto"/>
          <w:lang w:val="en-US" w:eastAsia="zh-CN"/>
        </w:rPr>
        <w:t>4.</w:t>
      </w:r>
      <w:r>
        <w:rPr>
          <w:rFonts w:hint="eastAsia"/>
          <w:color w:val="auto"/>
          <w:lang w:val="en-US" w:eastAsia="zh-CN"/>
        </w:rPr>
        <w:t>3</w:t>
      </w:r>
      <w:r>
        <w:rPr>
          <w:rFonts w:hint="default"/>
          <w:color w:val="auto"/>
          <w:lang w:val="en-US" w:eastAsia="zh-CN"/>
        </w:rPr>
        <w:t>.2 作业条件危险性分析</w:t>
      </w:r>
      <w:r>
        <w:rPr>
          <w:color w:val="auto"/>
        </w:rPr>
        <w:tab/>
      </w:r>
      <w:r>
        <w:rPr>
          <w:color w:val="auto"/>
        </w:rPr>
        <w:fldChar w:fldCharType="begin"/>
      </w:r>
      <w:r>
        <w:rPr>
          <w:color w:val="auto"/>
        </w:rPr>
        <w:instrText xml:space="preserve"> PAGEREF _Toc17298 \h </w:instrText>
      </w:r>
      <w:r>
        <w:rPr>
          <w:color w:val="auto"/>
        </w:rPr>
        <w:fldChar w:fldCharType="separate"/>
      </w:r>
      <w:r>
        <w:rPr>
          <w:color w:val="auto"/>
        </w:rPr>
        <w:t>55</w:t>
      </w:r>
      <w:r>
        <w:rPr>
          <w:color w:val="auto"/>
        </w:rPr>
        <w:fldChar w:fldCharType="end"/>
      </w:r>
      <w:r>
        <w:rPr>
          <w:rFonts w:hint="eastAsia"/>
          <w:color w:val="auto"/>
          <w:lang w:val="en-US" w:eastAsia="zh-CN"/>
        </w:rPr>
        <w:fldChar w:fldCharType="end"/>
      </w:r>
    </w:p>
    <w:p w14:paraId="40CDCE0C">
      <w:pPr>
        <w:pStyle w:val="13"/>
        <w:keepNext w:val="0"/>
        <w:keepLines w:val="0"/>
        <w:pageBreakBefore w:val="0"/>
        <w:widowControl w:val="0"/>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_Toc29016 </w:instrText>
      </w:r>
      <w:r>
        <w:rPr>
          <w:rFonts w:hint="eastAsia"/>
          <w:color w:val="auto"/>
          <w:lang w:val="en-US" w:eastAsia="zh-CN"/>
        </w:rPr>
        <w:fldChar w:fldCharType="separate"/>
      </w:r>
      <w:r>
        <w:rPr>
          <w:rFonts w:hint="default" w:ascii="Times New Roman" w:hAnsi="Times New Roman" w:cs="Times New Roman"/>
          <w:color w:val="auto"/>
          <w:lang w:val="en-US" w:eastAsia="zh-CN"/>
        </w:rPr>
        <w:t>5. 定性定量评价</w:t>
      </w:r>
      <w:r>
        <w:rPr>
          <w:color w:val="auto"/>
        </w:rPr>
        <w:tab/>
      </w:r>
      <w:r>
        <w:rPr>
          <w:color w:val="auto"/>
        </w:rPr>
        <w:fldChar w:fldCharType="begin"/>
      </w:r>
      <w:r>
        <w:rPr>
          <w:color w:val="auto"/>
        </w:rPr>
        <w:instrText xml:space="preserve"> PAGEREF _Toc29016 \h </w:instrText>
      </w:r>
      <w:r>
        <w:rPr>
          <w:color w:val="auto"/>
        </w:rPr>
        <w:fldChar w:fldCharType="separate"/>
      </w:r>
      <w:r>
        <w:rPr>
          <w:color w:val="auto"/>
        </w:rPr>
        <w:t>58</w:t>
      </w:r>
      <w:r>
        <w:rPr>
          <w:color w:val="auto"/>
        </w:rPr>
        <w:fldChar w:fldCharType="end"/>
      </w:r>
      <w:r>
        <w:rPr>
          <w:rFonts w:hint="eastAsia"/>
          <w:color w:val="auto"/>
          <w:lang w:val="en-US" w:eastAsia="zh-CN"/>
        </w:rPr>
        <w:fldChar w:fldCharType="end"/>
      </w:r>
    </w:p>
    <w:p w14:paraId="055F7A9F">
      <w:pPr>
        <w:pStyle w:val="14"/>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_Toc4723 </w:instrText>
      </w:r>
      <w:r>
        <w:rPr>
          <w:rFonts w:hint="eastAsia"/>
          <w:color w:val="auto"/>
          <w:lang w:val="en-US" w:eastAsia="zh-CN"/>
        </w:rPr>
        <w:fldChar w:fldCharType="separate"/>
      </w:r>
      <w:r>
        <w:rPr>
          <w:rFonts w:hint="default"/>
          <w:color w:val="auto"/>
          <w:lang w:val="en-US" w:eastAsia="zh-CN"/>
        </w:rPr>
        <w:t>5.1 安全管理单元</w:t>
      </w:r>
      <w:r>
        <w:rPr>
          <w:color w:val="auto"/>
        </w:rPr>
        <w:tab/>
      </w:r>
      <w:r>
        <w:rPr>
          <w:color w:val="auto"/>
        </w:rPr>
        <w:fldChar w:fldCharType="begin"/>
      </w:r>
      <w:r>
        <w:rPr>
          <w:color w:val="auto"/>
        </w:rPr>
        <w:instrText xml:space="preserve"> PAGEREF _Toc4723 \h </w:instrText>
      </w:r>
      <w:r>
        <w:rPr>
          <w:color w:val="auto"/>
        </w:rPr>
        <w:fldChar w:fldCharType="separate"/>
      </w:r>
      <w:r>
        <w:rPr>
          <w:color w:val="auto"/>
        </w:rPr>
        <w:t>58</w:t>
      </w:r>
      <w:r>
        <w:rPr>
          <w:color w:val="auto"/>
        </w:rPr>
        <w:fldChar w:fldCharType="end"/>
      </w:r>
      <w:r>
        <w:rPr>
          <w:rFonts w:hint="eastAsia"/>
          <w:color w:val="auto"/>
          <w:lang w:val="en-US" w:eastAsia="zh-CN"/>
        </w:rPr>
        <w:fldChar w:fldCharType="end"/>
      </w:r>
    </w:p>
    <w:p w14:paraId="5CE6E756">
      <w:pPr>
        <w:pStyle w:val="10"/>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_Toc11152 </w:instrText>
      </w:r>
      <w:r>
        <w:rPr>
          <w:rFonts w:hint="eastAsia"/>
          <w:color w:val="auto"/>
          <w:lang w:val="en-US" w:eastAsia="zh-CN"/>
        </w:rPr>
        <w:fldChar w:fldCharType="separate"/>
      </w:r>
      <w:r>
        <w:rPr>
          <w:rFonts w:hint="eastAsia"/>
          <w:color w:val="auto"/>
          <w:lang w:val="en-US" w:eastAsia="zh-CN"/>
        </w:rPr>
        <w:t>5.1.1 安全管理安全检查表</w:t>
      </w:r>
      <w:r>
        <w:rPr>
          <w:color w:val="auto"/>
        </w:rPr>
        <w:tab/>
      </w:r>
      <w:r>
        <w:rPr>
          <w:color w:val="auto"/>
        </w:rPr>
        <w:fldChar w:fldCharType="begin"/>
      </w:r>
      <w:r>
        <w:rPr>
          <w:color w:val="auto"/>
        </w:rPr>
        <w:instrText xml:space="preserve"> PAGEREF _Toc11152 \h </w:instrText>
      </w:r>
      <w:r>
        <w:rPr>
          <w:color w:val="auto"/>
        </w:rPr>
        <w:fldChar w:fldCharType="separate"/>
      </w:r>
      <w:r>
        <w:rPr>
          <w:color w:val="auto"/>
        </w:rPr>
        <w:t>58</w:t>
      </w:r>
      <w:r>
        <w:rPr>
          <w:color w:val="auto"/>
        </w:rPr>
        <w:fldChar w:fldCharType="end"/>
      </w:r>
      <w:r>
        <w:rPr>
          <w:rFonts w:hint="eastAsia"/>
          <w:color w:val="auto"/>
          <w:lang w:val="en-US" w:eastAsia="zh-CN"/>
        </w:rPr>
        <w:fldChar w:fldCharType="end"/>
      </w:r>
    </w:p>
    <w:p w14:paraId="49F541A5">
      <w:pPr>
        <w:pStyle w:val="10"/>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_Toc14300 </w:instrText>
      </w:r>
      <w:r>
        <w:rPr>
          <w:rFonts w:hint="eastAsia"/>
          <w:color w:val="auto"/>
          <w:lang w:val="en-US" w:eastAsia="zh-CN"/>
        </w:rPr>
        <w:fldChar w:fldCharType="separate"/>
      </w:r>
      <w:r>
        <w:rPr>
          <w:rFonts w:hint="default"/>
          <w:color w:val="auto"/>
          <w:lang w:val="en-US" w:eastAsia="zh-CN"/>
        </w:rPr>
        <w:t>5.1.2</w:t>
      </w:r>
      <w:r>
        <w:rPr>
          <w:rFonts w:hint="eastAsia"/>
          <w:color w:val="auto"/>
          <w:lang w:val="en-US" w:eastAsia="zh-CN"/>
        </w:rPr>
        <w:t xml:space="preserve"> </w:t>
      </w:r>
      <w:r>
        <w:rPr>
          <w:rFonts w:hint="default"/>
          <w:color w:val="auto"/>
          <w:lang w:val="en-US" w:eastAsia="zh-CN"/>
        </w:rPr>
        <w:t>评价小结</w:t>
      </w:r>
      <w:r>
        <w:rPr>
          <w:color w:val="auto"/>
        </w:rPr>
        <w:tab/>
      </w:r>
      <w:r>
        <w:rPr>
          <w:color w:val="auto"/>
        </w:rPr>
        <w:fldChar w:fldCharType="begin"/>
      </w:r>
      <w:r>
        <w:rPr>
          <w:color w:val="auto"/>
        </w:rPr>
        <w:instrText xml:space="preserve"> PAGEREF _Toc14300 \h </w:instrText>
      </w:r>
      <w:r>
        <w:rPr>
          <w:color w:val="auto"/>
        </w:rPr>
        <w:fldChar w:fldCharType="separate"/>
      </w:r>
      <w:r>
        <w:rPr>
          <w:color w:val="auto"/>
        </w:rPr>
        <w:t>61</w:t>
      </w:r>
      <w:r>
        <w:rPr>
          <w:color w:val="auto"/>
        </w:rPr>
        <w:fldChar w:fldCharType="end"/>
      </w:r>
      <w:r>
        <w:rPr>
          <w:rFonts w:hint="eastAsia"/>
          <w:color w:val="auto"/>
          <w:lang w:val="en-US" w:eastAsia="zh-CN"/>
        </w:rPr>
        <w:fldChar w:fldCharType="end"/>
      </w:r>
    </w:p>
    <w:p w14:paraId="4A55CBA9">
      <w:pPr>
        <w:pStyle w:val="14"/>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_Toc25916 </w:instrText>
      </w:r>
      <w:r>
        <w:rPr>
          <w:rFonts w:hint="eastAsia"/>
          <w:color w:val="auto"/>
          <w:lang w:val="en-US" w:eastAsia="zh-CN"/>
        </w:rPr>
        <w:fldChar w:fldCharType="separate"/>
      </w:r>
      <w:r>
        <w:rPr>
          <w:rFonts w:hint="eastAsia"/>
          <w:color w:val="auto"/>
          <w:lang w:val="en-US" w:eastAsia="zh-CN"/>
        </w:rPr>
        <w:t>5.2 露天采场单元</w:t>
      </w:r>
      <w:r>
        <w:rPr>
          <w:color w:val="auto"/>
        </w:rPr>
        <w:tab/>
      </w:r>
      <w:r>
        <w:rPr>
          <w:color w:val="auto"/>
        </w:rPr>
        <w:fldChar w:fldCharType="begin"/>
      </w:r>
      <w:r>
        <w:rPr>
          <w:color w:val="auto"/>
        </w:rPr>
        <w:instrText xml:space="preserve"> PAGEREF _Toc25916 \h </w:instrText>
      </w:r>
      <w:r>
        <w:rPr>
          <w:color w:val="auto"/>
        </w:rPr>
        <w:fldChar w:fldCharType="separate"/>
      </w:r>
      <w:r>
        <w:rPr>
          <w:color w:val="auto"/>
        </w:rPr>
        <w:t>62</w:t>
      </w:r>
      <w:r>
        <w:rPr>
          <w:color w:val="auto"/>
        </w:rPr>
        <w:fldChar w:fldCharType="end"/>
      </w:r>
      <w:r>
        <w:rPr>
          <w:rFonts w:hint="eastAsia"/>
          <w:color w:val="auto"/>
          <w:lang w:val="en-US" w:eastAsia="zh-CN"/>
        </w:rPr>
        <w:fldChar w:fldCharType="end"/>
      </w:r>
    </w:p>
    <w:p w14:paraId="00B73590">
      <w:pPr>
        <w:pStyle w:val="10"/>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_Toc6854 </w:instrText>
      </w:r>
      <w:r>
        <w:rPr>
          <w:rFonts w:hint="eastAsia"/>
          <w:color w:val="auto"/>
          <w:lang w:val="en-US" w:eastAsia="zh-CN"/>
        </w:rPr>
        <w:fldChar w:fldCharType="separate"/>
      </w:r>
      <w:r>
        <w:rPr>
          <w:rFonts w:hint="eastAsia"/>
          <w:color w:val="auto"/>
          <w:lang w:val="en-US" w:eastAsia="zh-CN"/>
        </w:rPr>
        <w:t>5.2.1 露天采场安全检查表</w:t>
      </w:r>
      <w:r>
        <w:rPr>
          <w:color w:val="auto"/>
        </w:rPr>
        <w:tab/>
      </w:r>
      <w:r>
        <w:rPr>
          <w:color w:val="auto"/>
        </w:rPr>
        <w:fldChar w:fldCharType="begin"/>
      </w:r>
      <w:r>
        <w:rPr>
          <w:color w:val="auto"/>
        </w:rPr>
        <w:instrText xml:space="preserve"> PAGEREF _Toc6854 \h </w:instrText>
      </w:r>
      <w:r>
        <w:rPr>
          <w:color w:val="auto"/>
        </w:rPr>
        <w:fldChar w:fldCharType="separate"/>
      </w:r>
      <w:r>
        <w:rPr>
          <w:color w:val="auto"/>
        </w:rPr>
        <w:t>62</w:t>
      </w:r>
      <w:r>
        <w:rPr>
          <w:color w:val="auto"/>
        </w:rPr>
        <w:fldChar w:fldCharType="end"/>
      </w:r>
      <w:r>
        <w:rPr>
          <w:rFonts w:hint="eastAsia"/>
          <w:color w:val="auto"/>
          <w:lang w:val="en-US" w:eastAsia="zh-CN"/>
        </w:rPr>
        <w:fldChar w:fldCharType="end"/>
      </w:r>
    </w:p>
    <w:p w14:paraId="5AF6316B">
      <w:pPr>
        <w:pStyle w:val="10"/>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_Toc25565 </w:instrText>
      </w:r>
      <w:r>
        <w:rPr>
          <w:rFonts w:hint="eastAsia"/>
          <w:color w:val="auto"/>
          <w:lang w:val="en-US" w:eastAsia="zh-CN"/>
        </w:rPr>
        <w:fldChar w:fldCharType="separate"/>
      </w:r>
      <w:r>
        <w:rPr>
          <w:rFonts w:hint="default"/>
          <w:color w:val="auto"/>
          <w:lang w:val="en-US" w:eastAsia="zh-CN"/>
        </w:rPr>
        <w:t>5.</w:t>
      </w:r>
      <w:r>
        <w:rPr>
          <w:rFonts w:hint="eastAsia"/>
          <w:color w:val="auto"/>
          <w:lang w:val="en-US" w:eastAsia="zh-CN"/>
        </w:rPr>
        <w:t>2</w:t>
      </w:r>
      <w:r>
        <w:rPr>
          <w:rFonts w:hint="default"/>
          <w:color w:val="auto"/>
          <w:lang w:val="en-US" w:eastAsia="zh-CN"/>
        </w:rPr>
        <w:t>.2</w:t>
      </w:r>
      <w:r>
        <w:rPr>
          <w:rFonts w:hint="eastAsia"/>
          <w:color w:val="auto"/>
          <w:lang w:val="en-US" w:eastAsia="zh-CN"/>
        </w:rPr>
        <w:t xml:space="preserve"> </w:t>
      </w:r>
      <w:r>
        <w:rPr>
          <w:rFonts w:hint="default"/>
          <w:color w:val="auto"/>
          <w:lang w:val="en-US" w:eastAsia="zh-CN"/>
        </w:rPr>
        <w:t>评价小结</w:t>
      </w:r>
      <w:r>
        <w:rPr>
          <w:color w:val="auto"/>
        </w:rPr>
        <w:tab/>
      </w:r>
      <w:r>
        <w:rPr>
          <w:color w:val="auto"/>
        </w:rPr>
        <w:fldChar w:fldCharType="begin"/>
      </w:r>
      <w:r>
        <w:rPr>
          <w:color w:val="auto"/>
        </w:rPr>
        <w:instrText xml:space="preserve"> PAGEREF _Toc25565 \h </w:instrText>
      </w:r>
      <w:r>
        <w:rPr>
          <w:color w:val="auto"/>
        </w:rPr>
        <w:fldChar w:fldCharType="separate"/>
      </w:r>
      <w:r>
        <w:rPr>
          <w:color w:val="auto"/>
        </w:rPr>
        <w:t>68</w:t>
      </w:r>
      <w:r>
        <w:rPr>
          <w:color w:val="auto"/>
        </w:rPr>
        <w:fldChar w:fldCharType="end"/>
      </w:r>
      <w:r>
        <w:rPr>
          <w:rFonts w:hint="eastAsia"/>
          <w:color w:val="auto"/>
          <w:lang w:val="en-US" w:eastAsia="zh-CN"/>
        </w:rPr>
        <w:fldChar w:fldCharType="end"/>
      </w:r>
    </w:p>
    <w:p w14:paraId="4922BD7B">
      <w:pPr>
        <w:pStyle w:val="14"/>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_Toc9064 </w:instrText>
      </w:r>
      <w:r>
        <w:rPr>
          <w:rFonts w:hint="eastAsia"/>
          <w:color w:val="auto"/>
          <w:lang w:val="en-US" w:eastAsia="zh-CN"/>
        </w:rPr>
        <w:fldChar w:fldCharType="separate"/>
      </w:r>
      <w:r>
        <w:rPr>
          <w:rFonts w:hint="default"/>
          <w:color w:val="auto"/>
          <w:lang w:val="en-US" w:eastAsia="zh-CN"/>
        </w:rPr>
        <w:t>5.3</w:t>
      </w:r>
      <w:r>
        <w:rPr>
          <w:rFonts w:hint="eastAsia"/>
          <w:color w:val="auto"/>
          <w:lang w:val="en-US" w:eastAsia="zh-CN"/>
        </w:rPr>
        <w:t xml:space="preserve"> </w:t>
      </w:r>
      <w:r>
        <w:rPr>
          <w:rFonts w:hint="default"/>
          <w:color w:val="auto"/>
          <w:lang w:val="en-US" w:eastAsia="zh-CN"/>
        </w:rPr>
        <w:t>边坡管理单元</w:t>
      </w:r>
      <w:r>
        <w:rPr>
          <w:color w:val="auto"/>
        </w:rPr>
        <w:tab/>
      </w:r>
      <w:r>
        <w:rPr>
          <w:color w:val="auto"/>
        </w:rPr>
        <w:fldChar w:fldCharType="begin"/>
      </w:r>
      <w:r>
        <w:rPr>
          <w:color w:val="auto"/>
        </w:rPr>
        <w:instrText xml:space="preserve"> PAGEREF _Toc9064 \h </w:instrText>
      </w:r>
      <w:r>
        <w:rPr>
          <w:color w:val="auto"/>
        </w:rPr>
        <w:fldChar w:fldCharType="separate"/>
      </w:r>
      <w:r>
        <w:rPr>
          <w:color w:val="auto"/>
        </w:rPr>
        <w:t>69</w:t>
      </w:r>
      <w:r>
        <w:rPr>
          <w:color w:val="auto"/>
        </w:rPr>
        <w:fldChar w:fldCharType="end"/>
      </w:r>
      <w:r>
        <w:rPr>
          <w:rFonts w:hint="eastAsia"/>
          <w:color w:val="auto"/>
          <w:lang w:val="en-US" w:eastAsia="zh-CN"/>
        </w:rPr>
        <w:fldChar w:fldCharType="end"/>
      </w:r>
    </w:p>
    <w:p w14:paraId="4A931CF3">
      <w:pPr>
        <w:pStyle w:val="10"/>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_Toc19589 </w:instrText>
      </w:r>
      <w:r>
        <w:rPr>
          <w:rFonts w:hint="eastAsia"/>
          <w:color w:val="auto"/>
          <w:lang w:val="en-US" w:eastAsia="zh-CN"/>
        </w:rPr>
        <w:fldChar w:fldCharType="separate"/>
      </w:r>
      <w:r>
        <w:rPr>
          <w:rFonts w:hint="default"/>
          <w:color w:val="auto"/>
          <w:lang w:val="en-US" w:eastAsia="zh-CN"/>
        </w:rPr>
        <w:t>5.3.1</w:t>
      </w:r>
      <w:r>
        <w:rPr>
          <w:rFonts w:hint="eastAsia"/>
          <w:color w:val="auto"/>
          <w:lang w:val="en-US" w:eastAsia="zh-CN"/>
        </w:rPr>
        <w:t xml:space="preserve"> 边坡管理</w:t>
      </w:r>
      <w:r>
        <w:rPr>
          <w:rFonts w:hint="default"/>
          <w:color w:val="auto"/>
          <w:lang w:val="en-US" w:eastAsia="zh-CN"/>
        </w:rPr>
        <w:t>安全检查表</w:t>
      </w:r>
      <w:r>
        <w:rPr>
          <w:color w:val="auto"/>
        </w:rPr>
        <w:tab/>
      </w:r>
      <w:r>
        <w:rPr>
          <w:color w:val="auto"/>
        </w:rPr>
        <w:fldChar w:fldCharType="begin"/>
      </w:r>
      <w:r>
        <w:rPr>
          <w:color w:val="auto"/>
        </w:rPr>
        <w:instrText xml:space="preserve"> PAGEREF _Toc19589 \h </w:instrText>
      </w:r>
      <w:r>
        <w:rPr>
          <w:color w:val="auto"/>
        </w:rPr>
        <w:fldChar w:fldCharType="separate"/>
      </w:r>
      <w:r>
        <w:rPr>
          <w:color w:val="auto"/>
        </w:rPr>
        <w:t>69</w:t>
      </w:r>
      <w:r>
        <w:rPr>
          <w:color w:val="auto"/>
        </w:rPr>
        <w:fldChar w:fldCharType="end"/>
      </w:r>
      <w:r>
        <w:rPr>
          <w:rFonts w:hint="eastAsia"/>
          <w:color w:val="auto"/>
          <w:lang w:val="en-US" w:eastAsia="zh-CN"/>
        </w:rPr>
        <w:fldChar w:fldCharType="end"/>
      </w:r>
    </w:p>
    <w:p w14:paraId="53CBB6F2">
      <w:pPr>
        <w:pStyle w:val="10"/>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_Toc12640 </w:instrText>
      </w:r>
      <w:r>
        <w:rPr>
          <w:rFonts w:hint="eastAsia"/>
          <w:color w:val="auto"/>
          <w:lang w:val="en-US" w:eastAsia="zh-CN"/>
        </w:rPr>
        <w:fldChar w:fldCharType="separate"/>
      </w:r>
      <w:r>
        <w:rPr>
          <w:rFonts w:hint="default"/>
          <w:color w:val="auto"/>
          <w:lang w:val="en-US" w:eastAsia="zh-CN"/>
        </w:rPr>
        <w:t>5.</w:t>
      </w:r>
      <w:r>
        <w:rPr>
          <w:rFonts w:hint="eastAsia"/>
          <w:color w:val="auto"/>
          <w:lang w:val="en-US" w:eastAsia="zh-CN"/>
        </w:rPr>
        <w:t>3</w:t>
      </w:r>
      <w:r>
        <w:rPr>
          <w:rFonts w:hint="default"/>
          <w:color w:val="auto"/>
          <w:lang w:val="en-US" w:eastAsia="zh-CN"/>
        </w:rPr>
        <w:t>.2 评价小结</w:t>
      </w:r>
      <w:r>
        <w:rPr>
          <w:color w:val="auto"/>
        </w:rPr>
        <w:tab/>
      </w:r>
      <w:r>
        <w:rPr>
          <w:color w:val="auto"/>
        </w:rPr>
        <w:fldChar w:fldCharType="begin"/>
      </w:r>
      <w:r>
        <w:rPr>
          <w:color w:val="auto"/>
        </w:rPr>
        <w:instrText xml:space="preserve"> PAGEREF _Toc12640 \h </w:instrText>
      </w:r>
      <w:r>
        <w:rPr>
          <w:color w:val="auto"/>
        </w:rPr>
        <w:fldChar w:fldCharType="separate"/>
      </w:r>
      <w:r>
        <w:rPr>
          <w:color w:val="auto"/>
        </w:rPr>
        <w:t>70</w:t>
      </w:r>
      <w:r>
        <w:rPr>
          <w:color w:val="auto"/>
        </w:rPr>
        <w:fldChar w:fldCharType="end"/>
      </w:r>
      <w:r>
        <w:rPr>
          <w:rFonts w:hint="eastAsia"/>
          <w:color w:val="auto"/>
          <w:lang w:val="en-US" w:eastAsia="zh-CN"/>
        </w:rPr>
        <w:fldChar w:fldCharType="end"/>
      </w:r>
    </w:p>
    <w:p w14:paraId="2C56AB36">
      <w:pPr>
        <w:pStyle w:val="14"/>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_Toc23527 </w:instrText>
      </w:r>
      <w:r>
        <w:rPr>
          <w:rFonts w:hint="eastAsia"/>
          <w:color w:val="auto"/>
          <w:lang w:val="en-US" w:eastAsia="zh-CN"/>
        </w:rPr>
        <w:fldChar w:fldCharType="separate"/>
      </w:r>
      <w:r>
        <w:rPr>
          <w:rFonts w:hint="eastAsia"/>
          <w:color w:val="auto"/>
          <w:lang w:val="en-US" w:eastAsia="zh-CN"/>
        </w:rPr>
        <w:t>5.4 供配电设施单元</w:t>
      </w:r>
      <w:r>
        <w:rPr>
          <w:color w:val="auto"/>
        </w:rPr>
        <w:tab/>
      </w:r>
      <w:r>
        <w:rPr>
          <w:color w:val="auto"/>
        </w:rPr>
        <w:fldChar w:fldCharType="begin"/>
      </w:r>
      <w:r>
        <w:rPr>
          <w:color w:val="auto"/>
        </w:rPr>
        <w:instrText xml:space="preserve"> PAGEREF _Toc23527 \h </w:instrText>
      </w:r>
      <w:r>
        <w:rPr>
          <w:color w:val="auto"/>
        </w:rPr>
        <w:fldChar w:fldCharType="separate"/>
      </w:r>
      <w:r>
        <w:rPr>
          <w:color w:val="auto"/>
        </w:rPr>
        <w:t>70</w:t>
      </w:r>
      <w:r>
        <w:rPr>
          <w:color w:val="auto"/>
        </w:rPr>
        <w:fldChar w:fldCharType="end"/>
      </w:r>
      <w:r>
        <w:rPr>
          <w:rFonts w:hint="eastAsia"/>
          <w:color w:val="auto"/>
          <w:lang w:val="en-US" w:eastAsia="zh-CN"/>
        </w:rPr>
        <w:fldChar w:fldCharType="end"/>
      </w:r>
    </w:p>
    <w:p w14:paraId="0A17FFB1">
      <w:pPr>
        <w:pStyle w:val="10"/>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_Toc9211 </w:instrText>
      </w:r>
      <w:r>
        <w:rPr>
          <w:rFonts w:hint="eastAsia"/>
          <w:color w:val="auto"/>
          <w:lang w:val="en-US" w:eastAsia="zh-CN"/>
        </w:rPr>
        <w:fldChar w:fldCharType="separate"/>
      </w:r>
      <w:r>
        <w:rPr>
          <w:rFonts w:hint="eastAsia"/>
          <w:color w:val="auto"/>
          <w:lang w:val="en-US" w:eastAsia="zh-CN"/>
        </w:rPr>
        <w:t>5.4.1 供配电设施安全检查表</w:t>
      </w:r>
      <w:r>
        <w:rPr>
          <w:color w:val="auto"/>
        </w:rPr>
        <w:tab/>
      </w:r>
      <w:r>
        <w:rPr>
          <w:color w:val="auto"/>
        </w:rPr>
        <w:fldChar w:fldCharType="begin"/>
      </w:r>
      <w:r>
        <w:rPr>
          <w:color w:val="auto"/>
        </w:rPr>
        <w:instrText xml:space="preserve"> PAGEREF _Toc9211 \h </w:instrText>
      </w:r>
      <w:r>
        <w:rPr>
          <w:color w:val="auto"/>
        </w:rPr>
        <w:fldChar w:fldCharType="separate"/>
      </w:r>
      <w:r>
        <w:rPr>
          <w:color w:val="auto"/>
        </w:rPr>
        <w:t>70</w:t>
      </w:r>
      <w:r>
        <w:rPr>
          <w:color w:val="auto"/>
        </w:rPr>
        <w:fldChar w:fldCharType="end"/>
      </w:r>
      <w:r>
        <w:rPr>
          <w:rFonts w:hint="eastAsia"/>
          <w:color w:val="auto"/>
          <w:lang w:val="en-US" w:eastAsia="zh-CN"/>
        </w:rPr>
        <w:fldChar w:fldCharType="end"/>
      </w:r>
    </w:p>
    <w:p w14:paraId="0E655FE6">
      <w:pPr>
        <w:pStyle w:val="10"/>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_Toc15352 </w:instrText>
      </w:r>
      <w:r>
        <w:rPr>
          <w:rFonts w:hint="eastAsia"/>
          <w:color w:val="auto"/>
          <w:lang w:val="en-US" w:eastAsia="zh-CN"/>
        </w:rPr>
        <w:fldChar w:fldCharType="separate"/>
      </w:r>
      <w:r>
        <w:rPr>
          <w:rFonts w:hint="eastAsia"/>
          <w:color w:val="auto"/>
          <w:lang w:val="en-US" w:eastAsia="zh-CN"/>
        </w:rPr>
        <w:t>5.4.2 评价小结</w:t>
      </w:r>
      <w:r>
        <w:rPr>
          <w:color w:val="auto"/>
        </w:rPr>
        <w:tab/>
      </w:r>
      <w:r>
        <w:rPr>
          <w:color w:val="auto"/>
        </w:rPr>
        <w:fldChar w:fldCharType="begin"/>
      </w:r>
      <w:r>
        <w:rPr>
          <w:color w:val="auto"/>
        </w:rPr>
        <w:instrText xml:space="preserve"> PAGEREF _Toc15352 \h </w:instrText>
      </w:r>
      <w:r>
        <w:rPr>
          <w:color w:val="auto"/>
        </w:rPr>
        <w:fldChar w:fldCharType="separate"/>
      </w:r>
      <w:r>
        <w:rPr>
          <w:color w:val="auto"/>
        </w:rPr>
        <w:t>74</w:t>
      </w:r>
      <w:r>
        <w:rPr>
          <w:color w:val="auto"/>
        </w:rPr>
        <w:fldChar w:fldCharType="end"/>
      </w:r>
      <w:r>
        <w:rPr>
          <w:rFonts w:hint="eastAsia"/>
          <w:color w:val="auto"/>
          <w:lang w:val="en-US" w:eastAsia="zh-CN"/>
        </w:rPr>
        <w:fldChar w:fldCharType="end"/>
      </w:r>
    </w:p>
    <w:p w14:paraId="1B035F0A">
      <w:pPr>
        <w:pStyle w:val="14"/>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_Toc3529 </w:instrText>
      </w:r>
      <w:r>
        <w:rPr>
          <w:rFonts w:hint="eastAsia"/>
          <w:color w:val="auto"/>
          <w:lang w:val="en-US" w:eastAsia="zh-CN"/>
        </w:rPr>
        <w:fldChar w:fldCharType="separate"/>
      </w:r>
      <w:r>
        <w:rPr>
          <w:rFonts w:hint="eastAsia"/>
          <w:color w:val="auto"/>
          <w:lang w:val="en-US" w:eastAsia="zh-CN"/>
        </w:rPr>
        <w:t>5.5 防排水单元</w:t>
      </w:r>
      <w:r>
        <w:rPr>
          <w:color w:val="auto"/>
        </w:rPr>
        <w:tab/>
      </w:r>
      <w:r>
        <w:rPr>
          <w:color w:val="auto"/>
        </w:rPr>
        <w:fldChar w:fldCharType="begin"/>
      </w:r>
      <w:r>
        <w:rPr>
          <w:color w:val="auto"/>
        </w:rPr>
        <w:instrText xml:space="preserve"> PAGEREF _Toc3529 \h </w:instrText>
      </w:r>
      <w:r>
        <w:rPr>
          <w:color w:val="auto"/>
        </w:rPr>
        <w:fldChar w:fldCharType="separate"/>
      </w:r>
      <w:r>
        <w:rPr>
          <w:color w:val="auto"/>
        </w:rPr>
        <w:t>74</w:t>
      </w:r>
      <w:r>
        <w:rPr>
          <w:color w:val="auto"/>
        </w:rPr>
        <w:fldChar w:fldCharType="end"/>
      </w:r>
      <w:r>
        <w:rPr>
          <w:rFonts w:hint="eastAsia"/>
          <w:color w:val="auto"/>
          <w:lang w:val="en-US" w:eastAsia="zh-CN"/>
        </w:rPr>
        <w:fldChar w:fldCharType="end"/>
      </w:r>
    </w:p>
    <w:p w14:paraId="2F0D6491">
      <w:pPr>
        <w:pStyle w:val="10"/>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_Toc19372 </w:instrText>
      </w:r>
      <w:r>
        <w:rPr>
          <w:rFonts w:hint="eastAsia"/>
          <w:color w:val="auto"/>
          <w:lang w:val="en-US" w:eastAsia="zh-CN"/>
        </w:rPr>
        <w:fldChar w:fldCharType="separate"/>
      </w:r>
      <w:r>
        <w:rPr>
          <w:rFonts w:hint="eastAsia"/>
          <w:color w:val="auto"/>
          <w:lang w:val="en-US" w:eastAsia="zh-CN"/>
        </w:rPr>
        <w:t>5.5.1 防排水安全检查表</w:t>
      </w:r>
      <w:r>
        <w:rPr>
          <w:color w:val="auto"/>
        </w:rPr>
        <w:tab/>
      </w:r>
      <w:r>
        <w:rPr>
          <w:color w:val="auto"/>
        </w:rPr>
        <w:fldChar w:fldCharType="begin"/>
      </w:r>
      <w:r>
        <w:rPr>
          <w:color w:val="auto"/>
        </w:rPr>
        <w:instrText xml:space="preserve"> PAGEREF _Toc19372 \h </w:instrText>
      </w:r>
      <w:r>
        <w:rPr>
          <w:color w:val="auto"/>
        </w:rPr>
        <w:fldChar w:fldCharType="separate"/>
      </w:r>
      <w:r>
        <w:rPr>
          <w:color w:val="auto"/>
        </w:rPr>
        <w:t>74</w:t>
      </w:r>
      <w:r>
        <w:rPr>
          <w:color w:val="auto"/>
        </w:rPr>
        <w:fldChar w:fldCharType="end"/>
      </w:r>
      <w:r>
        <w:rPr>
          <w:rFonts w:hint="eastAsia"/>
          <w:color w:val="auto"/>
          <w:lang w:val="en-US" w:eastAsia="zh-CN"/>
        </w:rPr>
        <w:fldChar w:fldCharType="end"/>
      </w:r>
    </w:p>
    <w:p w14:paraId="0D024ED2">
      <w:pPr>
        <w:pStyle w:val="10"/>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_Toc13805 </w:instrText>
      </w:r>
      <w:r>
        <w:rPr>
          <w:rFonts w:hint="eastAsia"/>
          <w:color w:val="auto"/>
          <w:lang w:val="en-US" w:eastAsia="zh-CN"/>
        </w:rPr>
        <w:fldChar w:fldCharType="separate"/>
      </w:r>
      <w:r>
        <w:rPr>
          <w:rFonts w:hint="eastAsia"/>
          <w:color w:val="auto"/>
          <w:lang w:val="en-US" w:eastAsia="zh-CN"/>
        </w:rPr>
        <w:t>5.5.2 评价小结</w:t>
      </w:r>
      <w:r>
        <w:rPr>
          <w:color w:val="auto"/>
        </w:rPr>
        <w:tab/>
      </w:r>
      <w:r>
        <w:rPr>
          <w:color w:val="auto"/>
        </w:rPr>
        <w:fldChar w:fldCharType="begin"/>
      </w:r>
      <w:r>
        <w:rPr>
          <w:color w:val="auto"/>
        </w:rPr>
        <w:instrText xml:space="preserve"> PAGEREF _Toc13805 \h </w:instrText>
      </w:r>
      <w:r>
        <w:rPr>
          <w:color w:val="auto"/>
        </w:rPr>
        <w:fldChar w:fldCharType="separate"/>
      </w:r>
      <w:r>
        <w:rPr>
          <w:color w:val="auto"/>
        </w:rPr>
        <w:t>75</w:t>
      </w:r>
      <w:r>
        <w:rPr>
          <w:color w:val="auto"/>
        </w:rPr>
        <w:fldChar w:fldCharType="end"/>
      </w:r>
      <w:r>
        <w:rPr>
          <w:rFonts w:hint="eastAsia"/>
          <w:color w:val="auto"/>
          <w:lang w:val="en-US" w:eastAsia="zh-CN"/>
        </w:rPr>
        <w:fldChar w:fldCharType="end"/>
      </w:r>
    </w:p>
    <w:p w14:paraId="53488C9E">
      <w:pPr>
        <w:pStyle w:val="14"/>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_Toc4503 </w:instrText>
      </w:r>
      <w:r>
        <w:rPr>
          <w:rFonts w:hint="eastAsia"/>
          <w:color w:val="auto"/>
          <w:lang w:val="en-US" w:eastAsia="zh-CN"/>
        </w:rPr>
        <w:fldChar w:fldCharType="separate"/>
      </w:r>
      <w:r>
        <w:rPr>
          <w:rFonts w:hint="eastAsia"/>
          <w:color w:val="auto"/>
          <w:lang w:val="en-US" w:eastAsia="zh-CN"/>
        </w:rPr>
        <w:t>5.6 防灭火单元</w:t>
      </w:r>
      <w:r>
        <w:rPr>
          <w:color w:val="auto"/>
        </w:rPr>
        <w:tab/>
      </w:r>
      <w:r>
        <w:rPr>
          <w:color w:val="auto"/>
        </w:rPr>
        <w:fldChar w:fldCharType="begin"/>
      </w:r>
      <w:r>
        <w:rPr>
          <w:color w:val="auto"/>
        </w:rPr>
        <w:instrText xml:space="preserve"> PAGEREF _Toc4503 \h </w:instrText>
      </w:r>
      <w:r>
        <w:rPr>
          <w:color w:val="auto"/>
        </w:rPr>
        <w:fldChar w:fldCharType="separate"/>
      </w:r>
      <w:r>
        <w:rPr>
          <w:color w:val="auto"/>
        </w:rPr>
        <w:t>76</w:t>
      </w:r>
      <w:r>
        <w:rPr>
          <w:color w:val="auto"/>
        </w:rPr>
        <w:fldChar w:fldCharType="end"/>
      </w:r>
      <w:r>
        <w:rPr>
          <w:rFonts w:hint="eastAsia"/>
          <w:color w:val="auto"/>
          <w:lang w:val="en-US" w:eastAsia="zh-CN"/>
        </w:rPr>
        <w:fldChar w:fldCharType="end"/>
      </w:r>
    </w:p>
    <w:p w14:paraId="399FD439">
      <w:pPr>
        <w:pStyle w:val="10"/>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_Toc23749 </w:instrText>
      </w:r>
      <w:r>
        <w:rPr>
          <w:rFonts w:hint="eastAsia"/>
          <w:color w:val="auto"/>
          <w:lang w:val="en-US" w:eastAsia="zh-CN"/>
        </w:rPr>
        <w:fldChar w:fldCharType="separate"/>
      </w:r>
      <w:r>
        <w:rPr>
          <w:rFonts w:hint="eastAsia"/>
          <w:color w:val="auto"/>
          <w:lang w:val="en-US" w:eastAsia="zh-CN"/>
        </w:rPr>
        <w:t>5.6.1 防灭火安全检查表</w:t>
      </w:r>
      <w:r>
        <w:rPr>
          <w:color w:val="auto"/>
        </w:rPr>
        <w:tab/>
      </w:r>
      <w:r>
        <w:rPr>
          <w:color w:val="auto"/>
        </w:rPr>
        <w:fldChar w:fldCharType="begin"/>
      </w:r>
      <w:r>
        <w:rPr>
          <w:color w:val="auto"/>
        </w:rPr>
        <w:instrText xml:space="preserve"> PAGEREF _Toc23749 \h </w:instrText>
      </w:r>
      <w:r>
        <w:rPr>
          <w:color w:val="auto"/>
        </w:rPr>
        <w:fldChar w:fldCharType="separate"/>
      </w:r>
      <w:r>
        <w:rPr>
          <w:color w:val="auto"/>
        </w:rPr>
        <w:t>76</w:t>
      </w:r>
      <w:r>
        <w:rPr>
          <w:color w:val="auto"/>
        </w:rPr>
        <w:fldChar w:fldCharType="end"/>
      </w:r>
      <w:r>
        <w:rPr>
          <w:rFonts w:hint="eastAsia"/>
          <w:color w:val="auto"/>
          <w:lang w:val="en-US" w:eastAsia="zh-CN"/>
        </w:rPr>
        <w:fldChar w:fldCharType="end"/>
      </w:r>
    </w:p>
    <w:p w14:paraId="3E8EC3C8">
      <w:pPr>
        <w:pStyle w:val="10"/>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_Toc6252 </w:instrText>
      </w:r>
      <w:r>
        <w:rPr>
          <w:rFonts w:hint="eastAsia"/>
          <w:color w:val="auto"/>
          <w:lang w:val="en-US" w:eastAsia="zh-CN"/>
        </w:rPr>
        <w:fldChar w:fldCharType="separate"/>
      </w:r>
      <w:r>
        <w:rPr>
          <w:rFonts w:hint="eastAsia"/>
          <w:color w:val="auto"/>
          <w:lang w:val="en-US" w:eastAsia="zh-CN"/>
        </w:rPr>
        <w:t>5.6.2 评价小结</w:t>
      </w:r>
      <w:r>
        <w:rPr>
          <w:color w:val="auto"/>
        </w:rPr>
        <w:tab/>
      </w:r>
      <w:r>
        <w:rPr>
          <w:color w:val="auto"/>
        </w:rPr>
        <w:fldChar w:fldCharType="begin"/>
      </w:r>
      <w:r>
        <w:rPr>
          <w:color w:val="auto"/>
        </w:rPr>
        <w:instrText xml:space="preserve"> PAGEREF _Toc6252 \h </w:instrText>
      </w:r>
      <w:r>
        <w:rPr>
          <w:color w:val="auto"/>
        </w:rPr>
        <w:fldChar w:fldCharType="separate"/>
      </w:r>
      <w:r>
        <w:rPr>
          <w:color w:val="auto"/>
        </w:rPr>
        <w:t>76</w:t>
      </w:r>
      <w:r>
        <w:rPr>
          <w:color w:val="auto"/>
        </w:rPr>
        <w:fldChar w:fldCharType="end"/>
      </w:r>
      <w:r>
        <w:rPr>
          <w:rFonts w:hint="eastAsia"/>
          <w:color w:val="auto"/>
          <w:lang w:val="en-US" w:eastAsia="zh-CN"/>
        </w:rPr>
        <w:fldChar w:fldCharType="end"/>
      </w:r>
    </w:p>
    <w:p w14:paraId="464E810D">
      <w:pPr>
        <w:pStyle w:val="14"/>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_Toc9939 </w:instrText>
      </w:r>
      <w:r>
        <w:rPr>
          <w:rFonts w:hint="eastAsia"/>
          <w:color w:val="auto"/>
          <w:lang w:val="en-US" w:eastAsia="zh-CN"/>
        </w:rPr>
        <w:fldChar w:fldCharType="separate"/>
      </w:r>
      <w:r>
        <w:rPr>
          <w:rFonts w:hint="eastAsia"/>
          <w:color w:val="auto"/>
          <w:lang w:val="en-US" w:eastAsia="zh-CN"/>
        </w:rPr>
        <w:t>5.7 重大生产安全事故隐患判定</w:t>
      </w:r>
      <w:r>
        <w:rPr>
          <w:color w:val="auto"/>
        </w:rPr>
        <w:tab/>
      </w:r>
      <w:r>
        <w:rPr>
          <w:color w:val="auto"/>
        </w:rPr>
        <w:fldChar w:fldCharType="begin"/>
      </w:r>
      <w:r>
        <w:rPr>
          <w:color w:val="auto"/>
        </w:rPr>
        <w:instrText xml:space="preserve"> PAGEREF _Toc9939 \h </w:instrText>
      </w:r>
      <w:r>
        <w:rPr>
          <w:color w:val="auto"/>
        </w:rPr>
        <w:fldChar w:fldCharType="separate"/>
      </w:r>
      <w:r>
        <w:rPr>
          <w:color w:val="auto"/>
        </w:rPr>
        <w:t>77</w:t>
      </w:r>
      <w:r>
        <w:rPr>
          <w:color w:val="auto"/>
        </w:rPr>
        <w:fldChar w:fldCharType="end"/>
      </w:r>
      <w:r>
        <w:rPr>
          <w:rFonts w:hint="eastAsia"/>
          <w:color w:val="auto"/>
          <w:lang w:val="en-US" w:eastAsia="zh-CN"/>
        </w:rPr>
        <w:fldChar w:fldCharType="end"/>
      </w:r>
    </w:p>
    <w:p w14:paraId="2F2CA17F">
      <w:pPr>
        <w:pStyle w:val="14"/>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_Toc11450 </w:instrText>
      </w:r>
      <w:r>
        <w:rPr>
          <w:rFonts w:hint="eastAsia"/>
          <w:color w:val="auto"/>
          <w:lang w:val="en-US" w:eastAsia="zh-CN"/>
        </w:rPr>
        <w:fldChar w:fldCharType="separate"/>
      </w:r>
      <w:r>
        <w:rPr>
          <w:rFonts w:hint="eastAsia"/>
          <w:color w:val="auto"/>
          <w:lang w:val="en-US" w:eastAsia="zh-CN"/>
        </w:rPr>
        <w:t>5.8 综合评价单元</w:t>
      </w:r>
      <w:r>
        <w:rPr>
          <w:color w:val="auto"/>
        </w:rPr>
        <w:tab/>
      </w:r>
      <w:r>
        <w:rPr>
          <w:color w:val="auto"/>
        </w:rPr>
        <w:fldChar w:fldCharType="begin"/>
      </w:r>
      <w:r>
        <w:rPr>
          <w:color w:val="auto"/>
        </w:rPr>
        <w:instrText xml:space="preserve"> PAGEREF _Toc11450 \h </w:instrText>
      </w:r>
      <w:r>
        <w:rPr>
          <w:color w:val="auto"/>
        </w:rPr>
        <w:fldChar w:fldCharType="separate"/>
      </w:r>
      <w:r>
        <w:rPr>
          <w:color w:val="auto"/>
        </w:rPr>
        <w:t>78</w:t>
      </w:r>
      <w:r>
        <w:rPr>
          <w:color w:val="auto"/>
        </w:rPr>
        <w:fldChar w:fldCharType="end"/>
      </w:r>
      <w:r>
        <w:rPr>
          <w:rFonts w:hint="eastAsia"/>
          <w:color w:val="auto"/>
          <w:lang w:val="en-US" w:eastAsia="zh-CN"/>
        </w:rPr>
        <w:fldChar w:fldCharType="end"/>
      </w:r>
    </w:p>
    <w:p w14:paraId="32A7D9F7">
      <w:pPr>
        <w:pStyle w:val="10"/>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_Toc26654 </w:instrText>
      </w:r>
      <w:r>
        <w:rPr>
          <w:rFonts w:hint="eastAsia"/>
          <w:color w:val="auto"/>
          <w:lang w:val="en-US" w:eastAsia="zh-CN"/>
        </w:rPr>
        <w:fldChar w:fldCharType="separate"/>
      </w:r>
      <w:r>
        <w:rPr>
          <w:rFonts w:hint="default"/>
          <w:color w:val="auto"/>
          <w:lang w:val="en-US" w:eastAsia="zh-CN"/>
        </w:rPr>
        <w:t>5.8.1</w:t>
      </w:r>
      <w:r>
        <w:rPr>
          <w:rFonts w:hint="eastAsia"/>
          <w:color w:val="auto"/>
          <w:lang w:val="en-US" w:eastAsia="zh-CN"/>
        </w:rPr>
        <w:t xml:space="preserve"> </w:t>
      </w:r>
      <w:r>
        <w:rPr>
          <w:rFonts w:hint="default"/>
          <w:color w:val="auto"/>
          <w:lang w:val="en-US" w:eastAsia="zh-CN"/>
        </w:rPr>
        <w:t>安全检查表</w:t>
      </w:r>
      <w:r>
        <w:rPr>
          <w:color w:val="auto"/>
        </w:rPr>
        <w:tab/>
      </w:r>
      <w:r>
        <w:rPr>
          <w:color w:val="auto"/>
        </w:rPr>
        <w:fldChar w:fldCharType="begin"/>
      </w:r>
      <w:r>
        <w:rPr>
          <w:color w:val="auto"/>
        </w:rPr>
        <w:instrText xml:space="preserve"> PAGEREF _Toc26654 \h </w:instrText>
      </w:r>
      <w:r>
        <w:rPr>
          <w:color w:val="auto"/>
        </w:rPr>
        <w:fldChar w:fldCharType="separate"/>
      </w:r>
      <w:r>
        <w:rPr>
          <w:color w:val="auto"/>
        </w:rPr>
        <w:t>78</w:t>
      </w:r>
      <w:r>
        <w:rPr>
          <w:color w:val="auto"/>
        </w:rPr>
        <w:fldChar w:fldCharType="end"/>
      </w:r>
      <w:r>
        <w:rPr>
          <w:rFonts w:hint="eastAsia"/>
          <w:color w:val="auto"/>
          <w:lang w:val="en-US" w:eastAsia="zh-CN"/>
        </w:rPr>
        <w:fldChar w:fldCharType="end"/>
      </w:r>
    </w:p>
    <w:p w14:paraId="2740CED9">
      <w:pPr>
        <w:pStyle w:val="10"/>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_Toc27994 </w:instrText>
      </w:r>
      <w:r>
        <w:rPr>
          <w:rFonts w:hint="eastAsia"/>
          <w:color w:val="auto"/>
          <w:lang w:val="en-US" w:eastAsia="zh-CN"/>
        </w:rPr>
        <w:fldChar w:fldCharType="separate"/>
      </w:r>
      <w:r>
        <w:rPr>
          <w:rFonts w:hint="eastAsia"/>
          <w:color w:val="auto"/>
          <w:lang w:val="en-US" w:eastAsia="zh-CN"/>
        </w:rPr>
        <w:t>5.8.2 评价结论</w:t>
      </w:r>
      <w:r>
        <w:rPr>
          <w:color w:val="auto"/>
        </w:rPr>
        <w:tab/>
      </w:r>
      <w:r>
        <w:rPr>
          <w:color w:val="auto"/>
        </w:rPr>
        <w:fldChar w:fldCharType="begin"/>
      </w:r>
      <w:r>
        <w:rPr>
          <w:color w:val="auto"/>
        </w:rPr>
        <w:instrText xml:space="preserve"> PAGEREF _Toc27994 \h </w:instrText>
      </w:r>
      <w:r>
        <w:rPr>
          <w:color w:val="auto"/>
        </w:rPr>
        <w:fldChar w:fldCharType="separate"/>
      </w:r>
      <w:r>
        <w:rPr>
          <w:color w:val="auto"/>
        </w:rPr>
        <w:t>79</w:t>
      </w:r>
      <w:r>
        <w:rPr>
          <w:color w:val="auto"/>
        </w:rPr>
        <w:fldChar w:fldCharType="end"/>
      </w:r>
      <w:r>
        <w:rPr>
          <w:rFonts w:hint="eastAsia"/>
          <w:color w:val="auto"/>
          <w:lang w:val="en-US" w:eastAsia="zh-CN"/>
        </w:rPr>
        <w:fldChar w:fldCharType="end"/>
      </w:r>
    </w:p>
    <w:p w14:paraId="6D80BF57">
      <w:pPr>
        <w:pStyle w:val="14"/>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_Toc7004 </w:instrText>
      </w:r>
      <w:r>
        <w:rPr>
          <w:rFonts w:hint="eastAsia"/>
          <w:color w:val="auto"/>
          <w:lang w:val="en-US" w:eastAsia="zh-CN"/>
        </w:rPr>
        <w:fldChar w:fldCharType="separate"/>
      </w:r>
      <w:r>
        <w:rPr>
          <w:rFonts w:hint="eastAsia"/>
          <w:color w:val="auto"/>
          <w:lang w:val="en-US" w:eastAsia="zh-CN"/>
        </w:rPr>
        <w:t xml:space="preserve">5.9 </w:t>
      </w:r>
      <w:r>
        <w:rPr>
          <w:rFonts w:hint="default"/>
          <w:color w:val="auto"/>
          <w:lang w:val="en-US" w:eastAsia="zh-CN"/>
        </w:rPr>
        <w:t>作业条件危险性分析</w:t>
      </w:r>
      <w:r>
        <w:rPr>
          <w:color w:val="auto"/>
        </w:rPr>
        <w:tab/>
      </w:r>
      <w:r>
        <w:rPr>
          <w:color w:val="auto"/>
        </w:rPr>
        <w:fldChar w:fldCharType="begin"/>
      </w:r>
      <w:r>
        <w:rPr>
          <w:color w:val="auto"/>
        </w:rPr>
        <w:instrText xml:space="preserve"> PAGEREF _Toc7004 \h </w:instrText>
      </w:r>
      <w:r>
        <w:rPr>
          <w:color w:val="auto"/>
        </w:rPr>
        <w:fldChar w:fldCharType="separate"/>
      </w:r>
      <w:r>
        <w:rPr>
          <w:color w:val="auto"/>
        </w:rPr>
        <w:t>79</w:t>
      </w:r>
      <w:r>
        <w:rPr>
          <w:color w:val="auto"/>
        </w:rPr>
        <w:fldChar w:fldCharType="end"/>
      </w:r>
      <w:r>
        <w:rPr>
          <w:rFonts w:hint="eastAsia"/>
          <w:color w:val="auto"/>
          <w:lang w:val="en-US" w:eastAsia="zh-CN"/>
        </w:rPr>
        <w:fldChar w:fldCharType="end"/>
      </w:r>
    </w:p>
    <w:p w14:paraId="716EE19B">
      <w:pPr>
        <w:pStyle w:val="13"/>
        <w:keepNext w:val="0"/>
        <w:keepLines w:val="0"/>
        <w:pageBreakBefore w:val="0"/>
        <w:widowControl w:val="0"/>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_Toc27745 </w:instrText>
      </w:r>
      <w:r>
        <w:rPr>
          <w:rFonts w:hint="eastAsia"/>
          <w:color w:val="auto"/>
          <w:lang w:val="en-US" w:eastAsia="zh-CN"/>
        </w:rPr>
        <w:fldChar w:fldCharType="separate"/>
      </w:r>
      <w:r>
        <w:rPr>
          <w:rFonts w:hint="default" w:ascii="Times New Roman" w:hAnsi="Times New Roman" w:cs="Times New Roman"/>
          <w:color w:val="auto"/>
          <w:lang w:val="en-US" w:eastAsia="zh-CN"/>
        </w:rPr>
        <w:t>6. 安全对策措施及建议</w:t>
      </w:r>
      <w:r>
        <w:rPr>
          <w:color w:val="auto"/>
        </w:rPr>
        <w:tab/>
      </w:r>
      <w:r>
        <w:rPr>
          <w:color w:val="auto"/>
        </w:rPr>
        <w:fldChar w:fldCharType="begin"/>
      </w:r>
      <w:r>
        <w:rPr>
          <w:color w:val="auto"/>
        </w:rPr>
        <w:instrText xml:space="preserve"> PAGEREF _Toc27745 \h </w:instrText>
      </w:r>
      <w:r>
        <w:rPr>
          <w:color w:val="auto"/>
        </w:rPr>
        <w:fldChar w:fldCharType="separate"/>
      </w:r>
      <w:r>
        <w:rPr>
          <w:color w:val="auto"/>
        </w:rPr>
        <w:t>81</w:t>
      </w:r>
      <w:r>
        <w:rPr>
          <w:color w:val="auto"/>
        </w:rPr>
        <w:fldChar w:fldCharType="end"/>
      </w:r>
      <w:r>
        <w:rPr>
          <w:rFonts w:hint="eastAsia"/>
          <w:color w:val="auto"/>
          <w:lang w:val="en-US" w:eastAsia="zh-CN"/>
        </w:rPr>
        <w:fldChar w:fldCharType="end"/>
      </w:r>
    </w:p>
    <w:p w14:paraId="44B6934C">
      <w:pPr>
        <w:pStyle w:val="14"/>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_Toc27555 </w:instrText>
      </w:r>
      <w:r>
        <w:rPr>
          <w:rFonts w:hint="eastAsia"/>
          <w:color w:val="auto"/>
          <w:lang w:val="en-US" w:eastAsia="zh-CN"/>
        </w:rPr>
        <w:fldChar w:fldCharType="separate"/>
      </w:r>
      <w:r>
        <w:rPr>
          <w:rFonts w:hint="default"/>
          <w:color w:val="auto"/>
          <w:lang w:val="en-US" w:eastAsia="zh-CN"/>
        </w:rPr>
        <w:t>6.1 安全管理对策措施建议</w:t>
      </w:r>
      <w:r>
        <w:rPr>
          <w:color w:val="auto"/>
        </w:rPr>
        <w:tab/>
      </w:r>
      <w:r>
        <w:rPr>
          <w:color w:val="auto"/>
        </w:rPr>
        <w:fldChar w:fldCharType="begin"/>
      </w:r>
      <w:r>
        <w:rPr>
          <w:color w:val="auto"/>
        </w:rPr>
        <w:instrText xml:space="preserve"> PAGEREF _Toc27555 \h </w:instrText>
      </w:r>
      <w:r>
        <w:rPr>
          <w:color w:val="auto"/>
        </w:rPr>
        <w:fldChar w:fldCharType="separate"/>
      </w:r>
      <w:r>
        <w:rPr>
          <w:color w:val="auto"/>
        </w:rPr>
        <w:t>81</w:t>
      </w:r>
      <w:r>
        <w:rPr>
          <w:color w:val="auto"/>
        </w:rPr>
        <w:fldChar w:fldCharType="end"/>
      </w:r>
      <w:r>
        <w:rPr>
          <w:rFonts w:hint="eastAsia"/>
          <w:color w:val="auto"/>
          <w:lang w:val="en-US" w:eastAsia="zh-CN"/>
        </w:rPr>
        <w:fldChar w:fldCharType="end"/>
      </w:r>
    </w:p>
    <w:p w14:paraId="6BD91E50">
      <w:pPr>
        <w:pStyle w:val="14"/>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_Toc19608 </w:instrText>
      </w:r>
      <w:r>
        <w:rPr>
          <w:rFonts w:hint="eastAsia"/>
          <w:color w:val="auto"/>
          <w:lang w:val="en-US" w:eastAsia="zh-CN"/>
        </w:rPr>
        <w:fldChar w:fldCharType="separate"/>
      </w:r>
      <w:r>
        <w:rPr>
          <w:rFonts w:hint="default"/>
          <w:color w:val="auto"/>
          <w:lang w:val="en-US" w:eastAsia="zh-CN"/>
        </w:rPr>
        <w:t>6.2 露天开采安全对策措施建议</w:t>
      </w:r>
      <w:r>
        <w:rPr>
          <w:color w:val="auto"/>
        </w:rPr>
        <w:tab/>
      </w:r>
      <w:r>
        <w:rPr>
          <w:color w:val="auto"/>
        </w:rPr>
        <w:fldChar w:fldCharType="begin"/>
      </w:r>
      <w:r>
        <w:rPr>
          <w:color w:val="auto"/>
        </w:rPr>
        <w:instrText xml:space="preserve"> PAGEREF _Toc19608 \h </w:instrText>
      </w:r>
      <w:r>
        <w:rPr>
          <w:color w:val="auto"/>
        </w:rPr>
        <w:fldChar w:fldCharType="separate"/>
      </w:r>
      <w:r>
        <w:rPr>
          <w:color w:val="auto"/>
        </w:rPr>
        <w:t>82</w:t>
      </w:r>
      <w:r>
        <w:rPr>
          <w:color w:val="auto"/>
        </w:rPr>
        <w:fldChar w:fldCharType="end"/>
      </w:r>
      <w:r>
        <w:rPr>
          <w:rFonts w:hint="eastAsia"/>
          <w:color w:val="auto"/>
          <w:lang w:val="en-US" w:eastAsia="zh-CN"/>
        </w:rPr>
        <w:fldChar w:fldCharType="end"/>
      </w:r>
    </w:p>
    <w:p w14:paraId="2CB38E42">
      <w:pPr>
        <w:pStyle w:val="14"/>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_Toc11385 </w:instrText>
      </w:r>
      <w:r>
        <w:rPr>
          <w:rFonts w:hint="eastAsia"/>
          <w:color w:val="auto"/>
          <w:lang w:val="en-US" w:eastAsia="zh-CN"/>
        </w:rPr>
        <w:fldChar w:fldCharType="separate"/>
      </w:r>
      <w:r>
        <w:rPr>
          <w:rFonts w:hint="eastAsia"/>
          <w:color w:val="auto"/>
          <w:lang w:val="en-US" w:eastAsia="zh-CN"/>
        </w:rPr>
        <w:t>6.3 开拓运输单元对策措施</w:t>
      </w:r>
      <w:r>
        <w:rPr>
          <w:color w:val="auto"/>
        </w:rPr>
        <w:tab/>
      </w:r>
      <w:r>
        <w:rPr>
          <w:color w:val="auto"/>
        </w:rPr>
        <w:fldChar w:fldCharType="begin"/>
      </w:r>
      <w:r>
        <w:rPr>
          <w:color w:val="auto"/>
        </w:rPr>
        <w:instrText xml:space="preserve"> PAGEREF _Toc11385 \h </w:instrText>
      </w:r>
      <w:r>
        <w:rPr>
          <w:color w:val="auto"/>
        </w:rPr>
        <w:fldChar w:fldCharType="separate"/>
      </w:r>
      <w:r>
        <w:rPr>
          <w:color w:val="auto"/>
        </w:rPr>
        <w:t>82</w:t>
      </w:r>
      <w:r>
        <w:rPr>
          <w:color w:val="auto"/>
        </w:rPr>
        <w:fldChar w:fldCharType="end"/>
      </w:r>
      <w:r>
        <w:rPr>
          <w:rFonts w:hint="eastAsia"/>
          <w:color w:val="auto"/>
          <w:lang w:val="en-US" w:eastAsia="zh-CN"/>
        </w:rPr>
        <w:fldChar w:fldCharType="end"/>
      </w:r>
    </w:p>
    <w:p w14:paraId="3B6D6174">
      <w:pPr>
        <w:pStyle w:val="14"/>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_Toc26569 </w:instrText>
      </w:r>
      <w:r>
        <w:rPr>
          <w:rFonts w:hint="eastAsia"/>
          <w:color w:val="auto"/>
          <w:lang w:val="en-US" w:eastAsia="zh-CN"/>
        </w:rPr>
        <w:fldChar w:fldCharType="separate"/>
      </w:r>
      <w:r>
        <w:rPr>
          <w:rFonts w:hint="eastAsia"/>
          <w:color w:val="auto"/>
          <w:lang w:val="en-US" w:eastAsia="zh-CN"/>
        </w:rPr>
        <w:t>6.4 爆破作业安全对策措施建议</w:t>
      </w:r>
      <w:r>
        <w:rPr>
          <w:color w:val="auto"/>
        </w:rPr>
        <w:tab/>
      </w:r>
      <w:r>
        <w:rPr>
          <w:color w:val="auto"/>
        </w:rPr>
        <w:fldChar w:fldCharType="begin"/>
      </w:r>
      <w:r>
        <w:rPr>
          <w:color w:val="auto"/>
        </w:rPr>
        <w:instrText xml:space="preserve"> PAGEREF _Toc26569 \h </w:instrText>
      </w:r>
      <w:r>
        <w:rPr>
          <w:color w:val="auto"/>
        </w:rPr>
        <w:fldChar w:fldCharType="separate"/>
      </w:r>
      <w:r>
        <w:rPr>
          <w:color w:val="auto"/>
        </w:rPr>
        <w:t>83</w:t>
      </w:r>
      <w:r>
        <w:rPr>
          <w:color w:val="auto"/>
        </w:rPr>
        <w:fldChar w:fldCharType="end"/>
      </w:r>
      <w:r>
        <w:rPr>
          <w:rFonts w:hint="eastAsia"/>
          <w:color w:val="auto"/>
          <w:lang w:val="en-US" w:eastAsia="zh-CN"/>
        </w:rPr>
        <w:fldChar w:fldCharType="end"/>
      </w:r>
    </w:p>
    <w:p w14:paraId="6D41BE11">
      <w:pPr>
        <w:pStyle w:val="14"/>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_Toc15217 </w:instrText>
      </w:r>
      <w:r>
        <w:rPr>
          <w:rFonts w:hint="eastAsia"/>
          <w:color w:val="auto"/>
          <w:lang w:val="en-US" w:eastAsia="zh-CN"/>
        </w:rPr>
        <w:fldChar w:fldCharType="separate"/>
      </w:r>
      <w:r>
        <w:rPr>
          <w:rFonts w:hint="eastAsia"/>
          <w:color w:val="auto"/>
          <w:lang w:val="en-US" w:eastAsia="zh-CN"/>
        </w:rPr>
        <w:t>6.5 供配电设施安全对策措施建议</w:t>
      </w:r>
      <w:r>
        <w:rPr>
          <w:color w:val="auto"/>
        </w:rPr>
        <w:tab/>
      </w:r>
      <w:r>
        <w:rPr>
          <w:color w:val="auto"/>
        </w:rPr>
        <w:fldChar w:fldCharType="begin"/>
      </w:r>
      <w:r>
        <w:rPr>
          <w:color w:val="auto"/>
        </w:rPr>
        <w:instrText xml:space="preserve"> PAGEREF _Toc15217 \h </w:instrText>
      </w:r>
      <w:r>
        <w:rPr>
          <w:color w:val="auto"/>
        </w:rPr>
        <w:fldChar w:fldCharType="separate"/>
      </w:r>
      <w:r>
        <w:rPr>
          <w:color w:val="auto"/>
        </w:rPr>
        <w:t>84</w:t>
      </w:r>
      <w:r>
        <w:rPr>
          <w:color w:val="auto"/>
        </w:rPr>
        <w:fldChar w:fldCharType="end"/>
      </w:r>
      <w:r>
        <w:rPr>
          <w:rFonts w:hint="eastAsia"/>
          <w:color w:val="auto"/>
          <w:lang w:val="en-US" w:eastAsia="zh-CN"/>
        </w:rPr>
        <w:fldChar w:fldCharType="end"/>
      </w:r>
    </w:p>
    <w:p w14:paraId="399A6420">
      <w:pPr>
        <w:pStyle w:val="14"/>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_Toc11362 </w:instrText>
      </w:r>
      <w:r>
        <w:rPr>
          <w:rFonts w:hint="eastAsia"/>
          <w:color w:val="auto"/>
          <w:lang w:val="en-US" w:eastAsia="zh-CN"/>
        </w:rPr>
        <w:fldChar w:fldCharType="separate"/>
      </w:r>
      <w:r>
        <w:rPr>
          <w:rFonts w:hint="eastAsia"/>
          <w:color w:val="auto"/>
          <w:lang w:val="en-US" w:eastAsia="zh-CN"/>
        </w:rPr>
        <w:t>6.6 防排水与防灭火安全对策措施建议</w:t>
      </w:r>
      <w:r>
        <w:rPr>
          <w:color w:val="auto"/>
        </w:rPr>
        <w:tab/>
      </w:r>
      <w:r>
        <w:rPr>
          <w:color w:val="auto"/>
        </w:rPr>
        <w:fldChar w:fldCharType="begin"/>
      </w:r>
      <w:r>
        <w:rPr>
          <w:color w:val="auto"/>
        </w:rPr>
        <w:instrText xml:space="preserve"> PAGEREF _Toc11362 \h </w:instrText>
      </w:r>
      <w:r>
        <w:rPr>
          <w:color w:val="auto"/>
        </w:rPr>
        <w:fldChar w:fldCharType="separate"/>
      </w:r>
      <w:r>
        <w:rPr>
          <w:color w:val="auto"/>
        </w:rPr>
        <w:t>85</w:t>
      </w:r>
      <w:r>
        <w:rPr>
          <w:color w:val="auto"/>
        </w:rPr>
        <w:fldChar w:fldCharType="end"/>
      </w:r>
      <w:r>
        <w:rPr>
          <w:rFonts w:hint="eastAsia"/>
          <w:color w:val="auto"/>
          <w:lang w:val="en-US" w:eastAsia="zh-CN"/>
        </w:rPr>
        <w:fldChar w:fldCharType="end"/>
      </w:r>
    </w:p>
    <w:p w14:paraId="6B21E957">
      <w:pPr>
        <w:pStyle w:val="13"/>
        <w:keepNext w:val="0"/>
        <w:keepLines w:val="0"/>
        <w:pageBreakBefore w:val="0"/>
        <w:widowControl w:val="0"/>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_Toc24513 </w:instrText>
      </w:r>
      <w:r>
        <w:rPr>
          <w:rFonts w:hint="eastAsia"/>
          <w:color w:val="auto"/>
          <w:lang w:val="en-US" w:eastAsia="zh-CN"/>
        </w:rPr>
        <w:fldChar w:fldCharType="separate"/>
      </w:r>
      <w:r>
        <w:rPr>
          <w:rFonts w:hint="default" w:ascii="Times New Roman" w:hAnsi="Times New Roman" w:cs="Times New Roman"/>
          <w:color w:val="auto"/>
          <w:lang w:val="en-US" w:eastAsia="zh-CN"/>
        </w:rPr>
        <w:t>7. 评价结论</w:t>
      </w:r>
      <w:r>
        <w:rPr>
          <w:color w:val="auto"/>
        </w:rPr>
        <w:tab/>
      </w:r>
      <w:r>
        <w:rPr>
          <w:color w:val="auto"/>
        </w:rPr>
        <w:fldChar w:fldCharType="begin"/>
      </w:r>
      <w:r>
        <w:rPr>
          <w:color w:val="auto"/>
        </w:rPr>
        <w:instrText xml:space="preserve"> PAGEREF _Toc24513 \h </w:instrText>
      </w:r>
      <w:r>
        <w:rPr>
          <w:color w:val="auto"/>
        </w:rPr>
        <w:fldChar w:fldCharType="separate"/>
      </w:r>
      <w:r>
        <w:rPr>
          <w:color w:val="auto"/>
        </w:rPr>
        <w:t>86</w:t>
      </w:r>
      <w:r>
        <w:rPr>
          <w:color w:val="auto"/>
        </w:rPr>
        <w:fldChar w:fldCharType="end"/>
      </w:r>
      <w:r>
        <w:rPr>
          <w:rFonts w:hint="eastAsia"/>
          <w:color w:val="auto"/>
          <w:lang w:val="en-US" w:eastAsia="zh-CN"/>
        </w:rPr>
        <w:fldChar w:fldCharType="end"/>
      </w:r>
    </w:p>
    <w:p w14:paraId="0565A914">
      <w:pPr>
        <w:pStyle w:val="14"/>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_Toc5437 </w:instrText>
      </w:r>
      <w:r>
        <w:rPr>
          <w:rFonts w:hint="eastAsia"/>
          <w:color w:val="auto"/>
          <w:lang w:val="en-US" w:eastAsia="zh-CN"/>
        </w:rPr>
        <w:fldChar w:fldCharType="separate"/>
      </w:r>
      <w:r>
        <w:rPr>
          <w:rFonts w:hint="default"/>
          <w:color w:val="auto"/>
          <w:lang w:val="en-US" w:eastAsia="zh-CN"/>
        </w:rPr>
        <w:t>7.1</w:t>
      </w:r>
      <w:r>
        <w:rPr>
          <w:rFonts w:hint="eastAsia"/>
          <w:color w:val="auto"/>
          <w:lang w:val="en-US" w:eastAsia="zh-CN"/>
        </w:rPr>
        <w:t xml:space="preserve"> </w:t>
      </w:r>
      <w:r>
        <w:rPr>
          <w:rFonts w:hint="default"/>
          <w:color w:val="auto"/>
          <w:lang w:val="en-US" w:eastAsia="zh-CN"/>
        </w:rPr>
        <w:t>矿山存在的主要危险、有害因素</w:t>
      </w:r>
      <w:r>
        <w:rPr>
          <w:color w:val="auto"/>
        </w:rPr>
        <w:tab/>
      </w:r>
      <w:r>
        <w:rPr>
          <w:color w:val="auto"/>
        </w:rPr>
        <w:fldChar w:fldCharType="begin"/>
      </w:r>
      <w:r>
        <w:rPr>
          <w:color w:val="auto"/>
        </w:rPr>
        <w:instrText xml:space="preserve"> PAGEREF _Toc5437 \h </w:instrText>
      </w:r>
      <w:r>
        <w:rPr>
          <w:color w:val="auto"/>
        </w:rPr>
        <w:fldChar w:fldCharType="separate"/>
      </w:r>
      <w:r>
        <w:rPr>
          <w:color w:val="auto"/>
        </w:rPr>
        <w:t>86</w:t>
      </w:r>
      <w:r>
        <w:rPr>
          <w:color w:val="auto"/>
        </w:rPr>
        <w:fldChar w:fldCharType="end"/>
      </w:r>
      <w:r>
        <w:rPr>
          <w:rFonts w:hint="eastAsia"/>
          <w:color w:val="auto"/>
          <w:lang w:val="en-US" w:eastAsia="zh-CN"/>
        </w:rPr>
        <w:fldChar w:fldCharType="end"/>
      </w:r>
    </w:p>
    <w:p w14:paraId="30F884F1">
      <w:pPr>
        <w:pStyle w:val="14"/>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_Toc8049 </w:instrText>
      </w:r>
      <w:r>
        <w:rPr>
          <w:rFonts w:hint="eastAsia"/>
          <w:color w:val="auto"/>
          <w:lang w:val="en-US" w:eastAsia="zh-CN"/>
        </w:rPr>
        <w:fldChar w:fldCharType="separate"/>
      </w:r>
      <w:r>
        <w:rPr>
          <w:rFonts w:hint="eastAsia"/>
          <w:color w:val="auto"/>
          <w:lang w:val="en-US" w:eastAsia="zh-CN"/>
        </w:rPr>
        <w:t>7.2 各单元评价结果</w:t>
      </w:r>
      <w:r>
        <w:rPr>
          <w:color w:val="auto"/>
        </w:rPr>
        <w:tab/>
      </w:r>
      <w:r>
        <w:rPr>
          <w:color w:val="auto"/>
        </w:rPr>
        <w:fldChar w:fldCharType="begin"/>
      </w:r>
      <w:r>
        <w:rPr>
          <w:color w:val="auto"/>
        </w:rPr>
        <w:instrText xml:space="preserve"> PAGEREF _Toc8049 \h </w:instrText>
      </w:r>
      <w:r>
        <w:rPr>
          <w:color w:val="auto"/>
        </w:rPr>
        <w:fldChar w:fldCharType="separate"/>
      </w:r>
      <w:r>
        <w:rPr>
          <w:color w:val="auto"/>
        </w:rPr>
        <w:t>86</w:t>
      </w:r>
      <w:r>
        <w:rPr>
          <w:color w:val="auto"/>
        </w:rPr>
        <w:fldChar w:fldCharType="end"/>
      </w:r>
      <w:r>
        <w:rPr>
          <w:rFonts w:hint="eastAsia"/>
          <w:color w:val="auto"/>
          <w:lang w:val="en-US" w:eastAsia="zh-CN"/>
        </w:rPr>
        <w:fldChar w:fldCharType="end"/>
      </w:r>
    </w:p>
    <w:p w14:paraId="75128CE5">
      <w:pPr>
        <w:pStyle w:val="14"/>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_Toc29834 </w:instrText>
      </w:r>
      <w:r>
        <w:rPr>
          <w:rFonts w:hint="eastAsia"/>
          <w:color w:val="auto"/>
          <w:lang w:val="en-US" w:eastAsia="zh-CN"/>
        </w:rPr>
        <w:fldChar w:fldCharType="separate"/>
      </w:r>
      <w:r>
        <w:rPr>
          <w:rFonts w:hint="default"/>
          <w:color w:val="auto"/>
          <w:lang w:val="en-US" w:eastAsia="zh-CN"/>
        </w:rPr>
        <w:t>7.</w:t>
      </w:r>
      <w:r>
        <w:rPr>
          <w:rFonts w:hint="eastAsia"/>
          <w:color w:val="auto"/>
          <w:lang w:val="en-US" w:eastAsia="zh-CN"/>
        </w:rPr>
        <w:t>3</w:t>
      </w:r>
      <w:r>
        <w:rPr>
          <w:rFonts w:hint="default"/>
          <w:color w:val="auto"/>
          <w:lang w:val="en-US" w:eastAsia="zh-CN"/>
        </w:rPr>
        <w:t xml:space="preserve"> 评价结论</w:t>
      </w:r>
      <w:r>
        <w:rPr>
          <w:color w:val="auto"/>
        </w:rPr>
        <w:tab/>
      </w:r>
      <w:r>
        <w:rPr>
          <w:color w:val="auto"/>
        </w:rPr>
        <w:fldChar w:fldCharType="begin"/>
      </w:r>
      <w:r>
        <w:rPr>
          <w:color w:val="auto"/>
        </w:rPr>
        <w:instrText xml:space="preserve"> PAGEREF _Toc29834 \h </w:instrText>
      </w:r>
      <w:r>
        <w:rPr>
          <w:color w:val="auto"/>
        </w:rPr>
        <w:fldChar w:fldCharType="separate"/>
      </w:r>
      <w:r>
        <w:rPr>
          <w:color w:val="auto"/>
        </w:rPr>
        <w:t>87</w:t>
      </w:r>
      <w:r>
        <w:rPr>
          <w:color w:val="auto"/>
        </w:rPr>
        <w:fldChar w:fldCharType="end"/>
      </w:r>
      <w:r>
        <w:rPr>
          <w:rFonts w:hint="eastAsia"/>
          <w:color w:val="auto"/>
          <w:lang w:val="en-US" w:eastAsia="zh-CN"/>
        </w:rPr>
        <w:fldChar w:fldCharType="end"/>
      </w:r>
    </w:p>
    <w:p w14:paraId="1C74DB3C">
      <w:pPr>
        <w:pStyle w:val="13"/>
        <w:keepNext w:val="0"/>
        <w:keepLines w:val="0"/>
        <w:pageBreakBefore w:val="0"/>
        <w:widowControl w:val="0"/>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_Toc32531 </w:instrText>
      </w:r>
      <w:r>
        <w:rPr>
          <w:rFonts w:hint="eastAsia"/>
          <w:color w:val="auto"/>
          <w:lang w:val="en-US" w:eastAsia="zh-CN"/>
        </w:rPr>
        <w:fldChar w:fldCharType="separate"/>
      </w:r>
      <w:r>
        <w:rPr>
          <w:rFonts w:hint="default" w:ascii="Times New Roman" w:hAnsi="Times New Roman" w:cs="Times New Roman"/>
          <w:color w:val="auto"/>
          <w:lang w:val="en-US" w:eastAsia="zh-CN"/>
        </w:rPr>
        <w:t xml:space="preserve">8. </w:t>
      </w:r>
      <w:r>
        <w:rPr>
          <w:rFonts w:hint="eastAsia" w:ascii="Times New Roman" w:hAnsi="Times New Roman" w:cs="Times New Roman"/>
          <w:color w:val="auto"/>
          <w:lang w:val="en-US" w:eastAsia="zh-CN"/>
        </w:rPr>
        <w:t>附图附件</w:t>
      </w:r>
      <w:r>
        <w:rPr>
          <w:color w:val="auto"/>
        </w:rPr>
        <w:tab/>
      </w:r>
      <w:r>
        <w:rPr>
          <w:color w:val="auto"/>
        </w:rPr>
        <w:fldChar w:fldCharType="begin"/>
      </w:r>
      <w:r>
        <w:rPr>
          <w:color w:val="auto"/>
        </w:rPr>
        <w:instrText xml:space="preserve"> PAGEREF _Toc32531 \h </w:instrText>
      </w:r>
      <w:r>
        <w:rPr>
          <w:color w:val="auto"/>
        </w:rPr>
        <w:fldChar w:fldCharType="separate"/>
      </w:r>
      <w:r>
        <w:rPr>
          <w:color w:val="auto"/>
        </w:rPr>
        <w:t>88</w:t>
      </w:r>
      <w:r>
        <w:rPr>
          <w:color w:val="auto"/>
        </w:rPr>
        <w:fldChar w:fldCharType="end"/>
      </w:r>
      <w:r>
        <w:rPr>
          <w:rFonts w:hint="eastAsia"/>
          <w:color w:val="auto"/>
          <w:lang w:val="en-US" w:eastAsia="zh-CN"/>
        </w:rPr>
        <w:fldChar w:fldCharType="end"/>
      </w:r>
    </w:p>
    <w:p w14:paraId="3B0E61F6">
      <w:pPr>
        <w:pStyle w:val="14"/>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_Toc21295 </w:instrText>
      </w:r>
      <w:r>
        <w:rPr>
          <w:rFonts w:hint="eastAsia"/>
          <w:color w:val="auto"/>
          <w:lang w:val="en-US" w:eastAsia="zh-CN"/>
        </w:rPr>
        <w:fldChar w:fldCharType="separate"/>
      </w:r>
      <w:r>
        <w:rPr>
          <w:rFonts w:hint="eastAsia"/>
          <w:color w:val="auto"/>
          <w:lang w:val="en-US" w:eastAsia="zh-CN"/>
        </w:rPr>
        <w:t>8.1 附图</w:t>
      </w:r>
      <w:r>
        <w:rPr>
          <w:color w:val="auto"/>
        </w:rPr>
        <w:tab/>
      </w:r>
      <w:r>
        <w:rPr>
          <w:color w:val="auto"/>
        </w:rPr>
        <w:fldChar w:fldCharType="begin"/>
      </w:r>
      <w:r>
        <w:rPr>
          <w:color w:val="auto"/>
        </w:rPr>
        <w:instrText xml:space="preserve"> PAGEREF _Toc21295 \h </w:instrText>
      </w:r>
      <w:r>
        <w:rPr>
          <w:color w:val="auto"/>
        </w:rPr>
        <w:fldChar w:fldCharType="separate"/>
      </w:r>
      <w:r>
        <w:rPr>
          <w:color w:val="auto"/>
        </w:rPr>
        <w:t>88</w:t>
      </w:r>
      <w:r>
        <w:rPr>
          <w:color w:val="auto"/>
        </w:rPr>
        <w:fldChar w:fldCharType="end"/>
      </w:r>
      <w:r>
        <w:rPr>
          <w:rFonts w:hint="eastAsia"/>
          <w:color w:val="auto"/>
          <w:lang w:val="en-US" w:eastAsia="zh-CN"/>
        </w:rPr>
        <w:fldChar w:fldCharType="end"/>
      </w:r>
    </w:p>
    <w:p w14:paraId="574C4AE2">
      <w:pPr>
        <w:pStyle w:val="14"/>
        <w:keepNext w:val="0"/>
        <w:keepLines w:val="0"/>
        <w:pageBreakBefore w:val="0"/>
        <w:widowControl w:val="0"/>
        <w:tabs>
          <w:tab w:val="right" w:leader="dot" w:pos="9072"/>
        </w:tabs>
        <w:kinsoku/>
        <w:wordWrap/>
        <w:overflowPunct/>
        <w:topLinePunct w:val="0"/>
        <w:autoSpaceDE/>
        <w:autoSpaceDN/>
        <w:bidi w:val="0"/>
        <w:adjustRightInd/>
        <w:snapToGrid/>
        <w:spacing w:line="276" w:lineRule="auto"/>
        <w:ind w:firstLine="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 HYPERLINK \l _Toc2082 </w:instrText>
      </w:r>
      <w:r>
        <w:rPr>
          <w:rFonts w:hint="eastAsia"/>
          <w:color w:val="auto"/>
          <w:lang w:val="en-US" w:eastAsia="zh-CN"/>
        </w:rPr>
        <w:fldChar w:fldCharType="separate"/>
      </w:r>
      <w:r>
        <w:rPr>
          <w:rFonts w:hint="eastAsia"/>
          <w:color w:val="auto"/>
          <w:lang w:val="en-US" w:eastAsia="zh-CN"/>
        </w:rPr>
        <w:t>8.2 附件</w:t>
      </w:r>
      <w:r>
        <w:rPr>
          <w:color w:val="auto"/>
        </w:rPr>
        <w:tab/>
      </w:r>
      <w:r>
        <w:rPr>
          <w:color w:val="auto"/>
        </w:rPr>
        <w:fldChar w:fldCharType="begin"/>
      </w:r>
      <w:r>
        <w:rPr>
          <w:color w:val="auto"/>
        </w:rPr>
        <w:instrText xml:space="preserve"> PAGEREF _Toc2082 \h </w:instrText>
      </w:r>
      <w:r>
        <w:rPr>
          <w:color w:val="auto"/>
        </w:rPr>
        <w:fldChar w:fldCharType="separate"/>
      </w:r>
      <w:r>
        <w:rPr>
          <w:color w:val="auto"/>
        </w:rPr>
        <w:t>88</w:t>
      </w:r>
      <w:r>
        <w:rPr>
          <w:color w:val="auto"/>
        </w:rPr>
        <w:fldChar w:fldCharType="end"/>
      </w:r>
      <w:r>
        <w:rPr>
          <w:rFonts w:hint="eastAsia"/>
          <w:color w:val="auto"/>
          <w:lang w:val="en-US" w:eastAsia="zh-CN"/>
        </w:rPr>
        <w:fldChar w:fldCharType="end"/>
      </w:r>
    </w:p>
    <w:p w14:paraId="201C8D12">
      <w:pPr>
        <w:bidi w:val="0"/>
        <w:rPr>
          <w:rFonts w:hint="eastAsia"/>
          <w:color w:val="auto"/>
          <w:lang w:val="en-US" w:eastAsia="zh-CN"/>
        </w:rPr>
      </w:pPr>
      <w:r>
        <w:rPr>
          <w:rFonts w:hint="eastAsia"/>
          <w:color w:val="auto"/>
          <w:lang w:val="en-US" w:eastAsia="zh-CN"/>
        </w:rPr>
        <w:fldChar w:fldCharType="end"/>
      </w:r>
    </w:p>
    <w:p w14:paraId="647FC42F">
      <w:pPr>
        <w:keepNext w:val="0"/>
        <w:keepLines w:val="0"/>
        <w:pageBreakBefore w:val="0"/>
        <w:kinsoku/>
        <w:wordWrap/>
        <w:overflowPunct/>
        <w:topLinePunct w:val="0"/>
        <w:autoSpaceDE/>
        <w:autoSpaceDN/>
        <w:bidi w:val="0"/>
        <w:adjustRightInd/>
        <w:snapToGrid/>
        <w:spacing w:line="300" w:lineRule="auto"/>
        <w:ind w:firstLine="0" w:firstLineChars="0"/>
        <w:textAlignment w:val="auto"/>
        <w:rPr>
          <w:color w:val="auto"/>
        </w:rPr>
      </w:pPr>
      <w:r>
        <w:rPr>
          <w:color w:val="auto"/>
        </w:rPr>
        <w:br w:type="page"/>
      </w:r>
    </w:p>
    <w:p w14:paraId="5A58A2CB">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b/>
          <w:bCs/>
          <w:color w:val="auto"/>
          <w:sz w:val="32"/>
          <w:szCs w:val="32"/>
          <w:lang w:eastAsia="zh-CN"/>
        </w:rPr>
        <w:sectPr>
          <w:headerReference r:id="rId5" w:type="default"/>
          <w:footerReference r:id="rId6" w:type="default"/>
          <w:pgSz w:w="11906" w:h="16839"/>
          <w:pgMar w:top="1417" w:right="1417" w:bottom="1417" w:left="1417" w:header="850" w:footer="992" w:gutter="0"/>
          <w:pgNumType w:fmt="upperRoman" w:start="1"/>
          <w:cols w:space="425" w:num="1"/>
          <w:rtlGutter w:val="0"/>
          <w:docGrid w:linePitch="312" w:charSpace="0"/>
        </w:sectPr>
      </w:pPr>
    </w:p>
    <w:p w14:paraId="0DDA5C07">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b/>
          <w:bCs/>
          <w:color w:val="auto"/>
          <w:sz w:val="32"/>
          <w:szCs w:val="32"/>
        </w:rPr>
      </w:pPr>
      <w:r>
        <w:rPr>
          <w:rFonts w:hint="eastAsia" w:ascii="宋体" w:hAnsi="宋体"/>
          <w:b/>
          <w:bCs/>
          <w:color w:val="auto"/>
          <w:sz w:val="32"/>
          <w:szCs w:val="32"/>
        </w:rPr>
        <w:t>江西省坤育矿业有限公司</w:t>
      </w:r>
    </w:p>
    <w:p w14:paraId="4D048071">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b/>
          <w:bCs/>
          <w:color w:val="auto"/>
          <w:sz w:val="32"/>
          <w:szCs w:val="32"/>
        </w:rPr>
      </w:pPr>
      <w:r>
        <w:rPr>
          <w:rFonts w:hint="eastAsia" w:ascii="宋体" w:hAnsi="宋体"/>
          <w:b/>
          <w:bCs/>
          <w:color w:val="auto"/>
          <w:sz w:val="32"/>
          <w:szCs w:val="32"/>
        </w:rPr>
        <w:t>德安县聂桥镇刘家山矿区建筑用辉绿岩矿</w:t>
      </w:r>
    </w:p>
    <w:p w14:paraId="5C85D01A">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b/>
          <w:bCs/>
          <w:color w:val="auto"/>
          <w:sz w:val="32"/>
          <w:szCs w:val="32"/>
        </w:rPr>
      </w:pPr>
      <w:r>
        <w:rPr>
          <w:rFonts w:hint="eastAsia" w:ascii="宋体" w:hAnsi="宋体"/>
          <w:b/>
          <w:bCs/>
          <w:color w:val="auto"/>
          <w:sz w:val="32"/>
          <w:szCs w:val="32"/>
        </w:rPr>
        <w:t>露天开采工程</w:t>
      </w:r>
    </w:p>
    <w:p w14:paraId="09246871">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b/>
          <w:bCs/>
          <w:color w:val="auto"/>
          <w:sz w:val="32"/>
          <w:szCs w:val="32"/>
        </w:rPr>
      </w:pPr>
      <w:r>
        <w:rPr>
          <w:rFonts w:hint="eastAsia" w:ascii="宋体" w:hAnsi="宋体"/>
          <w:b/>
          <w:bCs/>
          <w:color w:val="auto"/>
          <w:sz w:val="32"/>
          <w:szCs w:val="32"/>
        </w:rPr>
        <w:t>安全现状评价报告</w:t>
      </w:r>
    </w:p>
    <w:p w14:paraId="456666A9">
      <w:pPr>
        <w:pStyle w:val="2"/>
        <w:numPr>
          <w:ilvl w:val="0"/>
          <w:numId w:val="1"/>
        </w:numPr>
        <w:bidi w:val="0"/>
        <w:ind w:left="0" w:leftChars="0" w:firstLine="0" w:firstLineChars="0"/>
        <w:rPr>
          <w:rFonts w:hint="eastAsia"/>
          <w:color w:val="auto"/>
        </w:rPr>
      </w:pPr>
      <w:bookmarkStart w:id="0" w:name="_Toc30359"/>
      <w:bookmarkStart w:id="1" w:name="_Toc28683"/>
      <w:bookmarkStart w:id="2" w:name="_Toc3451"/>
      <w:bookmarkStart w:id="3" w:name="_Toc22"/>
      <w:bookmarkStart w:id="4" w:name="_Toc4742"/>
      <w:bookmarkStart w:id="5" w:name="_Toc17873"/>
      <w:bookmarkStart w:id="6" w:name="_Toc18786"/>
      <w:bookmarkStart w:id="7" w:name="_Toc57620327"/>
      <w:bookmarkStart w:id="8" w:name="_Toc18615"/>
      <w:r>
        <w:rPr>
          <w:rFonts w:hint="eastAsia"/>
          <w:color w:val="auto"/>
          <w:lang w:val="en-US" w:eastAsia="zh-CN"/>
        </w:rPr>
        <w:t>评价</w:t>
      </w:r>
      <w:r>
        <w:rPr>
          <w:rFonts w:hint="eastAsia"/>
          <w:color w:val="auto"/>
        </w:rPr>
        <w:t>概述</w:t>
      </w:r>
      <w:bookmarkEnd w:id="0"/>
      <w:bookmarkEnd w:id="1"/>
      <w:bookmarkEnd w:id="2"/>
      <w:bookmarkEnd w:id="3"/>
      <w:bookmarkEnd w:id="4"/>
      <w:bookmarkEnd w:id="5"/>
      <w:bookmarkEnd w:id="6"/>
      <w:bookmarkEnd w:id="7"/>
      <w:bookmarkEnd w:id="8"/>
    </w:p>
    <w:p w14:paraId="2A02EB2B">
      <w:pPr>
        <w:pStyle w:val="3"/>
        <w:bidi w:val="0"/>
        <w:rPr>
          <w:rFonts w:hint="eastAsia"/>
          <w:color w:val="auto"/>
        </w:rPr>
      </w:pPr>
      <w:bookmarkStart w:id="9" w:name="_Toc5933"/>
      <w:bookmarkStart w:id="10" w:name="_Toc23599"/>
      <w:bookmarkStart w:id="11" w:name="_Toc21858"/>
      <w:bookmarkStart w:id="12" w:name="_Toc21198"/>
      <w:bookmarkStart w:id="13" w:name="_Toc23104"/>
      <w:bookmarkStart w:id="14" w:name="_Toc27850"/>
      <w:bookmarkStart w:id="15" w:name="_Toc26891"/>
      <w:r>
        <w:rPr>
          <w:rFonts w:hint="eastAsia"/>
          <w:color w:val="auto"/>
        </w:rPr>
        <w:t>1.1</w:t>
      </w:r>
      <w:r>
        <w:rPr>
          <w:rFonts w:hint="eastAsia"/>
          <w:color w:val="auto"/>
          <w:lang w:val="en-US" w:eastAsia="zh-CN"/>
        </w:rPr>
        <w:t xml:space="preserve"> </w:t>
      </w:r>
      <w:bookmarkEnd w:id="9"/>
      <w:bookmarkEnd w:id="10"/>
      <w:bookmarkEnd w:id="11"/>
      <w:bookmarkEnd w:id="12"/>
      <w:r>
        <w:rPr>
          <w:rFonts w:hint="eastAsia"/>
          <w:color w:val="auto"/>
        </w:rPr>
        <w:t>评价对象和范围</w:t>
      </w:r>
      <w:bookmarkEnd w:id="13"/>
      <w:bookmarkEnd w:id="14"/>
      <w:bookmarkEnd w:id="15"/>
    </w:p>
    <w:p w14:paraId="13CC5B72">
      <w:pPr>
        <w:pStyle w:val="4"/>
        <w:bidi w:val="0"/>
        <w:rPr>
          <w:rFonts w:hint="eastAsia"/>
          <w:color w:val="auto"/>
        </w:rPr>
      </w:pPr>
      <w:bookmarkStart w:id="16" w:name="_Toc20054"/>
      <w:bookmarkStart w:id="17" w:name="_Toc3150"/>
      <w:bookmarkStart w:id="18" w:name="_Toc9539"/>
      <w:bookmarkStart w:id="19" w:name="_Toc31576"/>
      <w:bookmarkStart w:id="20" w:name="_Toc20968"/>
      <w:bookmarkStart w:id="21" w:name="_Toc11469"/>
      <w:bookmarkStart w:id="22" w:name="_Toc23256"/>
      <w:r>
        <w:rPr>
          <w:rFonts w:hint="eastAsia"/>
          <w:color w:val="auto"/>
        </w:rPr>
        <w:t>1.1.1</w:t>
      </w:r>
      <w:r>
        <w:rPr>
          <w:rFonts w:hint="eastAsia"/>
          <w:color w:val="auto"/>
          <w:lang w:val="en-US" w:eastAsia="zh-CN"/>
        </w:rPr>
        <w:t xml:space="preserve"> </w:t>
      </w:r>
      <w:bookmarkEnd w:id="16"/>
      <w:bookmarkEnd w:id="17"/>
      <w:bookmarkEnd w:id="18"/>
      <w:bookmarkEnd w:id="19"/>
      <w:r>
        <w:rPr>
          <w:rFonts w:hint="eastAsia"/>
          <w:color w:val="auto"/>
        </w:rPr>
        <w:t>评价对象</w:t>
      </w:r>
      <w:bookmarkEnd w:id="20"/>
      <w:bookmarkEnd w:id="21"/>
      <w:bookmarkEnd w:id="22"/>
    </w:p>
    <w:p w14:paraId="3168DA61">
      <w:pPr>
        <w:bidi w:val="0"/>
        <w:rPr>
          <w:rFonts w:hint="default"/>
          <w:color w:val="auto"/>
          <w:lang w:val="en-US" w:eastAsia="zh-CN"/>
        </w:rPr>
      </w:pPr>
      <w:r>
        <w:rPr>
          <w:rFonts w:hint="default"/>
          <w:color w:val="auto"/>
          <w:lang w:val="en-US" w:eastAsia="zh-CN"/>
        </w:rPr>
        <w:t>江西省坤育矿业有限公司德安县聂桥镇刘家山矿区建筑用辉绿岩矿露天开采工程。</w:t>
      </w:r>
    </w:p>
    <w:p w14:paraId="2F39DC1A">
      <w:pPr>
        <w:pStyle w:val="4"/>
        <w:bidi w:val="0"/>
        <w:rPr>
          <w:rFonts w:hint="default"/>
          <w:color w:val="auto"/>
          <w:lang w:val="en-US" w:eastAsia="zh-CN"/>
        </w:rPr>
      </w:pPr>
      <w:bookmarkStart w:id="23" w:name="_Toc29350"/>
      <w:bookmarkStart w:id="24" w:name="_Toc2227"/>
      <w:bookmarkStart w:id="25" w:name="_Toc12047"/>
      <w:r>
        <w:rPr>
          <w:rFonts w:hint="default"/>
          <w:color w:val="auto"/>
          <w:lang w:val="en-US" w:eastAsia="zh-CN"/>
        </w:rPr>
        <w:t>1.1.2 评价范围</w:t>
      </w:r>
      <w:bookmarkEnd w:id="23"/>
      <w:bookmarkEnd w:id="24"/>
      <w:bookmarkEnd w:id="25"/>
    </w:p>
    <w:p w14:paraId="08307A9D">
      <w:pPr>
        <w:rPr>
          <w:rFonts w:hint="default"/>
          <w:color w:val="auto"/>
          <w:lang w:val="en-US" w:eastAsia="zh-CN"/>
        </w:rPr>
      </w:pPr>
      <w:r>
        <w:rPr>
          <w:rFonts w:hint="eastAsia"/>
          <w:color w:val="auto"/>
          <w:lang w:val="en-US" w:eastAsia="zh-CN"/>
        </w:rPr>
        <w:t xml:space="preserve">1. </w:t>
      </w:r>
      <w:r>
        <w:rPr>
          <w:rFonts w:hint="default"/>
          <w:color w:val="auto"/>
          <w:lang w:val="en-US" w:eastAsia="zh-CN"/>
        </w:rPr>
        <w:t>《采矿许可证》</w:t>
      </w:r>
      <w:r>
        <w:rPr>
          <w:rFonts w:hint="eastAsia"/>
          <w:color w:val="auto"/>
          <w:lang w:val="en-US" w:eastAsia="zh-CN"/>
        </w:rPr>
        <w:t>6</w:t>
      </w:r>
      <w:r>
        <w:rPr>
          <w:rFonts w:hint="default"/>
          <w:color w:val="auto"/>
          <w:lang w:val="en-US" w:eastAsia="zh-CN"/>
        </w:rPr>
        <w:t>个拐点坐标范围内+</w:t>
      </w:r>
      <w:r>
        <w:rPr>
          <w:rFonts w:hint="eastAsia"/>
          <w:color w:val="auto"/>
          <w:lang w:val="en-US" w:eastAsia="zh-CN"/>
        </w:rPr>
        <w:t>380</w:t>
      </w:r>
      <w:r>
        <w:rPr>
          <w:rFonts w:hint="default"/>
          <w:color w:val="auto"/>
          <w:lang w:val="en-US" w:eastAsia="zh-CN"/>
        </w:rPr>
        <w:t>m至+</w:t>
      </w:r>
      <w:r>
        <w:rPr>
          <w:rFonts w:hint="eastAsia"/>
          <w:color w:val="auto"/>
          <w:lang w:val="en-US" w:eastAsia="zh-CN"/>
        </w:rPr>
        <w:t>195</w:t>
      </w:r>
      <w:r>
        <w:rPr>
          <w:rFonts w:hint="default"/>
          <w:color w:val="auto"/>
          <w:lang w:val="en-US" w:eastAsia="zh-CN"/>
        </w:rPr>
        <w:t>m标高的露天开采。</w:t>
      </w:r>
    </w:p>
    <w:p w14:paraId="15C3DE67">
      <w:pPr>
        <w:rPr>
          <w:rFonts w:hint="default"/>
          <w:color w:val="auto"/>
          <w:lang w:val="en-US" w:eastAsia="zh-CN"/>
        </w:rPr>
      </w:pPr>
      <w:r>
        <w:rPr>
          <w:rFonts w:hint="eastAsia"/>
          <w:color w:val="auto"/>
          <w:lang w:val="en-US" w:eastAsia="zh-CN"/>
        </w:rPr>
        <w:t xml:space="preserve">2. </w:t>
      </w:r>
      <w:r>
        <w:rPr>
          <w:rFonts w:hint="default"/>
          <w:color w:val="auto"/>
          <w:lang w:val="en-US" w:eastAsia="zh-CN"/>
        </w:rPr>
        <w:t>矿山开拓运输、采剥作业、爆破作业、供配电、防排水、</w:t>
      </w:r>
      <w:r>
        <w:rPr>
          <w:rFonts w:hint="eastAsia"/>
          <w:color w:val="auto"/>
          <w:lang w:val="en-US" w:eastAsia="zh-CN"/>
        </w:rPr>
        <w:t>防灭火</w:t>
      </w:r>
      <w:r>
        <w:rPr>
          <w:rFonts w:hint="default"/>
          <w:color w:val="auto"/>
          <w:lang w:val="en-US" w:eastAsia="zh-CN"/>
        </w:rPr>
        <w:t>等矿山生产、辅助系统的安全设施和矿山安全管理。</w:t>
      </w:r>
    </w:p>
    <w:p w14:paraId="6C1BDF28">
      <w:pPr>
        <w:rPr>
          <w:rFonts w:hint="eastAsia"/>
          <w:color w:val="auto"/>
          <w:lang w:val="en-US" w:eastAsia="zh-CN"/>
        </w:rPr>
      </w:pPr>
      <w:r>
        <w:rPr>
          <w:rFonts w:hint="eastAsia"/>
          <w:color w:val="auto"/>
          <w:lang w:val="en-US" w:eastAsia="zh-CN"/>
        </w:rPr>
        <w:t>3. 矿山的厂外运输、碎石加工、职业卫生、环境保护不在此次评价范围内。</w:t>
      </w:r>
    </w:p>
    <w:p w14:paraId="444797FD">
      <w:pPr>
        <w:pStyle w:val="3"/>
        <w:bidi w:val="0"/>
        <w:rPr>
          <w:rFonts w:hint="default"/>
          <w:color w:val="auto"/>
          <w:lang w:val="en-US" w:eastAsia="zh-CN"/>
        </w:rPr>
      </w:pPr>
      <w:bookmarkStart w:id="26" w:name="_Toc1810"/>
      <w:bookmarkStart w:id="27" w:name="_Toc9504"/>
      <w:bookmarkStart w:id="28" w:name="_Toc1256"/>
      <w:r>
        <w:rPr>
          <w:rFonts w:hint="default"/>
          <w:color w:val="auto"/>
          <w:lang w:val="en-US" w:eastAsia="zh-CN"/>
        </w:rPr>
        <w:t>1.2 评价目的和内容</w:t>
      </w:r>
      <w:bookmarkEnd w:id="26"/>
      <w:bookmarkEnd w:id="27"/>
      <w:bookmarkEnd w:id="28"/>
    </w:p>
    <w:p w14:paraId="4B8B1D58">
      <w:pPr>
        <w:pStyle w:val="4"/>
        <w:bidi w:val="0"/>
        <w:rPr>
          <w:rFonts w:hint="default"/>
          <w:color w:val="auto"/>
          <w:lang w:val="en-US" w:eastAsia="zh-CN"/>
        </w:rPr>
      </w:pPr>
      <w:bookmarkStart w:id="29" w:name="_Toc3535"/>
      <w:bookmarkStart w:id="30" w:name="_Toc29611"/>
      <w:bookmarkStart w:id="31" w:name="_Toc19607"/>
      <w:r>
        <w:rPr>
          <w:rFonts w:hint="default"/>
          <w:color w:val="auto"/>
          <w:lang w:val="en-US" w:eastAsia="zh-CN"/>
        </w:rPr>
        <w:t>1.2.1</w:t>
      </w:r>
      <w:r>
        <w:rPr>
          <w:rFonts w:hint="eastAsia"/>
          <w:color w:val="auto"/>
          <w:lang w:val="en-US" w:eastAsia="zh-CN"/>
        </w:rPr>
        <w:t xml:space="preserve"> </w:t>
      </w:r>
      <w:r>
        <w:rPr>
          <w:rFonts w:hint="default"/>
          <w:color w:val="auto"/>
          <w:lang w:val="en-US" w:eastAsia="zh-CN"/>
        </w:rPr>
        <w:t>评价目的</w:t>
      </w:r>
      <w:bookmarkEnd w:id="29"/>
      <w:bookmarkEnd w:id="30"/>
      <w:bookmarkEnd w:id="31"/>
    </w:p>
    <w:p w14:paraId="5911CCDE">
      <w:pPr>
        <w:rPr>
          <w:rFonts w:hint="default"/>
          <w:color w:val="auto"/>
          <w:lang w:val="en-US" w:eastAsia="zh-CN"/>
        </w:rPr>
      </w:pPr>
      <w:r>
        <w:rPr>
          <w:rFonts w:hint="default"/>
          <w:color w:val="auto"/>
          <w:lang w:val="en-US" w:eastAsia="zh-CN"/>
        </w:rPr>
        <w:t>为了贯彻</w:t>
      </w:r>
      <w:r>
        <w:rPr>
          <w:rFonts w:hint="eastAsia"/>
          <w:color w:val="auto"/>
          <w:lang w:val="en-US" w:eastAsia="zh-CN"/>
        </w:rPr>
        <w:t>“</w:t>
      </w:r>
      <w:r>
        <w:rPr>
          <w:rFonts w:hint="default"/>
          <w:color w:val="auto"/>
          <w:lang w:val="en-US" w:eastAsia="zh-CN"/>
        </w:rPr>
        <w:t>安全第一、预防为主、综合治理</w:t>
      </w:r>
      <w:r>
        <w:rPr>
          <w:rFonts w:hint="eastAsia"/>
          <w:color w:val="auto"/>
          <w:lang w:val="en-US" w:eastAsia="zh-CN"/>
        </w:rPr>
        <w:t>”</w:t>
      </w:r>
      <w:r>
        <w:rPr>
          <w:rFonts w:hint="default"/>
          <w:color w:val="auto"/>
          <w:lang w:val="en-US" w:eastAsia="zh-CN"/>
        </w:rPr>
        <w:t>的安全生产方针，在评价项目生命周期内的生产运行期，通过对矿山的生产设备设施、安全装置实际运行状况及现场管理状况的调查、分析，运用安全系统工程的方法，进行危险、有害因素的识别及其危险度的评价，查找系统生产运行中存在的安全事故隐患并判定其危险程度，提出合理可行的安全对策措施及建议，指导危险源监控和事故预防，以达到最低事故率，最少损失和最优的安全投资效益，确保矿山在安全设施、保护装置方面符合国家的有关法律法规、规章标准及其他要求。</w:t>
      </w:r>
    </w:p>
    <w:p w14:paraId="3220BEED">
      <w:pPr>
        <w:rPr>
          <w:rFonts w:hint="default"/>
          <w:color w:val="auto"/>
          <w:lang w:val="en-US" w:eastAsia="zh-CN"/>
        </w:rPr>
      </w:pPr>
      <w:r>
        <w:rPr>
          <w:rFonts w:hint="default"/>
          <w:color w:val="auto"/>
          <w:lang w:val="en-US" w:eastAsia="zh-CN"/>
        </w:rPr>
        <w:t>本次评价是对江西省坤育矿业有限公司德安县聂桥镇刘家山矿区建筑用辉绿岩矿露天开采工程的主要生产系统的安全设施进行危险、有害因素的识别及其危险度的评价，对矿山安全管理、安全设备设施进行符合性评价，提出合理可行的安全对策措施及建议，促进矿山本质安全化建设，也为矿山安全生产许可证延期换证提供技术依据。</w:t>
      </w:r>
    </w:p>
    <w:p w14:paraId="35484B61">
      <w:pPr>
        <w:pStyle w:val="4"/>
        <w:bidi w:val="0"/>
        <w:rPr>
          <w:rFonts w:hint="default"/>
          <w:color w:val="auto"/>
          <w:lang w:val="en-US" w:eastAsia="zh-CN"/>
        </w:rPr>
      </w:pPr>
      <w:bookmarkStart w:id="32" w:name="_Toc3585"/>
      <w:bookmarkStart w:id="33" w:name="_Toc32654"/>
      <w:bookmarkStart w:id="34" w:name="_Toc16389"/>
      <w:r>
        <w:rPr>
          <w:rFonts w:hint="default"/>
          <w:color w:val="auto"/>
          <w:lang w:val="en-US" w:eastAsia="zh-CN"/>
        </w:rPr>
        <w:t>1.2.2</w:t>
      </w:r>
      <w:r>
        <w:rPr>
          <w:rFonts w:hint="eastAsia"/>
          <w:color w:val="auto"/>
          <w:lang w:val="en-US" w:eastAsia="zh-CN"/>
        </w:rPr>
        <w:t xml:space="preserve"> </w:t>
      </w:r>
      <w:r>
        <w:rPr>
          <w:rFonts w:hint="default"/>
          <w:color w:val="auto"/>
          <w:lang w:val="en-US" w:eastAsia="zh-CN"/>
        </w:rPr>
        <w:t>评价内容</w:t>
      </w:r>
      <w:bookmarkEnd w:id="32"/>
      <w:bookmarkEnd w:id="33"/>
      <w:bookmarkEnd w:id="34"/>
    </w:p>
    <w:p w14:paraId="787C5EA7">
      <w:pPr>
        <w:rPr>
          <w:rFonts w:hint="default"/>
          <w:color w:val="auto"/>
          <w:lang w:val="en-US" w:eastAsia="zh-CN"/>
        </w:rPr>
      </w:pPr>
      <w:r>
        <w:rPr>
          <w:rFonts w:hint="default"/>
          <w:color w:val="auto"/>
          <w:lang w:val="en-US" w:eastAsia="zh-CN"/>
        </w:rPr>
        <w:t>通过对江西省坤育矿业有限公司德安县聂桥镇刘家山矿区建筑用辉绿岩矿安全生产方面资料收集以及现场安全状况的检查调研，对如下内容进行评价：</w:t>
      </w:r>
    </w:p>
    <w:p w14:paraId="42F14C2D">
      <w:pPr>
        <w:rPr>
          <w:rFonts w:hint="default"/>
          <w:color w:val="auto"/>
          <w:lang w:val="en-US" w:eastAsia="zh-CN"/>
        </w:rPr>
      </w:pPr>
      <w:r>
        <w:rPr>
          <w:rFonts w:hint="default"/>
          <w:color w:val="auto"/>
          <w:lang w:val="en-US" w:eastAsia="zh-CN"/>
        </w:rPr>
        <w:t>1</w:t>
      </w:r>
      <w:r>
        <w:rPr>
          <w:rFonts w:hint="eastAsia"/>
          <w:color w:val="auto"/>
          <w:lang w:val="en-US" w:eastAsia="zh-CN"/>
        </w:rPr>
        <w:t xml:space="preserve">. </w:t>
      </w:r>
      <w:r>
        <w:rPr>
          <w:rFonts w:hint="default"/>
          <w:color w:val="auto"/>
          <w:lang w:val="en-US" w:eastAsia="zh-CN"/>
        </w:rPr>
        <w:t>识别评价项目生产中的危险、有害因素，确定其危险度；</w:t>
      </w:r>
    </w:p>
    <w:p w14:paraId="2EC52761">
      <w:pPr>
        <w:rPr>
          <w:rFonts w:hint="default"/>
          <w:color w:val="auto"/>
          <w:lang w:val="en-US" w:eastAsia="zh-CN"/>
        </w:rPr>
      </w:pPr>
      <w:r>
        <w:rPr>
          <w:rFonts w:hint="default"/>
          <w:color w:val="auto"/>
          <w:lang w:val="en-US" w:eastAsia="zh-CN"/>
        </w:rPr>
        <w:t>2</w:t>
      </w:r>
      <w:r>
        <w:rPr>
          <w:rFonts w:hint="eastAsia"/>
          <w:color w:val="auto"/>
          <w:lang w:val="en-US" w:eastAsia="zh-CN"/>
        </w:rPr>
        <w:t xml:space="preserve">. </w:t>
      </w:r>
      <w:r>
        <w:rPr>
          <w:rFonts w:hint="default"/>
          <w:color w:val="auto"/>
          <w:lang w:val="en-US" w:eastAsia="zh-CN"/>
        </w:rPr>
        <w:t>评价安全管理模式对确保安全生产的适应性，评价安全生产责任制、安全管理机构及安全管理人员、安全生产制度等安全管理相关内容是否满足安全生产法律法规和技术标准的要求及其落实执行情况，说明现行企业安全管理模式是否满足安全生产的要求；</w:t>
      </w:r>
    </w:p>
    <w:p w14:paraId="0D6D0002">
      <w:pPr>
        <w:rPr>
          <w:rFonts w:hint="default"/>
          <w:color w:val="auto"/>
          <w:lang w:val="en-US" w:eastAsia="zh-CN"/>
        </w:rPr>
      </w:pPr>
      <w:r>
        <w:rPr>
          <w:rFonts w:hint="default"/>
          <w:color w:val="auto"/>
          <w:lang w:val="en-US" w:eastAsia="zh-CN"/>
        </w:rPr>
        <w:t>3</w:t>
      </w:r>
      <w:r>
        <w:rPr>
          <w:rFonts w:hint="eastAsia"/>
          <w:color w:val="auto"/>
          <w:lang w:val="en-US" w:eastAsia="zh-CN"/>
        </w:rPr>
        <w:t xml:space="preserve">. </w:t>
      </w:r>
      <w:r>
        <w:rPr>
          <w:rFonts w:hint="default"/>
          <w:color w:val="auto"/>
          <w:lang w:val="en-US" w:eastAsia="zh-CN"/>
        </w:rPr>
        <w:t>评价各生产系统和辅助系统及其生产工艺采用的设施、设备是否满足安全生产法律法规和技术标准的要求；</w:t>
      </w:r>
    </w:p>
    <w:p w14:paraId="00D317DF">
      <w:pPr>
        <w:rPr>
          <w:rFonts w:hint="default"/>
          <w:color w:val="auto"/>
          <w:lang w:val="en-US" w:eastAsia="zh-CN"/>
        </w:rPr>
      </w:pPr>
      <w:r>
        <w:rPr>
          <w:rFonts w:hint="default"/>
          <w:color w:val="auto"/>
          <w:lang w:val="en-US" w:eastAsia="zh-CN"/>
        </w:rPr>
        <w:t>4</w:t>
      </w:r>
      <w:r>
        <w:rPr>
          <w:rFonts w:hint="eastAsia"/>
          <w:color w:val="auto"/>
          <w:lang w:val="en-US" w:eastAsia="zh-CN"/>
        </w:rPr>
        <w:t xml:space="preserve">. </w:t>
      </w:r>
      <w:r>
        <w:rPr>
          <w:rFonts w:hint="default"/>
          <w:color w:val="auto"/>
          <w:lang w:val="en-US" w:eastAsia="zh-CN"/>
        </w:rPr>
        <w:t>评价矿山对可能产生的危险、有害因素，制订的安全措施的针对性、适应性、有效性；</w:t>
      </w:r>
    </w:p>
    <w:p w14:paraId="536548C9">
      <w:pPr>
        <w:rPr>
          <w:rFonts w:hint="default"/>
          <w:color w:val="auto"/>
          <w:lang w:val="en-US" w:eastAsia="zh-CN"/>
        </w:rPr>
      </w:pPr>
      <w:r>
        <w:rPr>
          <w:rFonts w:hint="default"/>
          <w:color w:val="auto"/>
          <w:lang w:val="en-US" w:eastAsia="zh-CN"/>
        </w:rPr>
        <w:t>5</w:t>
      </w:r>
      <w:r>
        <w:rPr>
          <w:rFonts w:hint="eastAsia"/>
          <w:color w:val="auto"/>
          <w:lang w:val="en-US" w:eastAsia="zh-CN"/>
        </w:rPr>
        <w:t xml:space="preserve">. </w:t>
      </w:r>
      <w:r>
        <w:rPr>
          <w:rFonts w:hint="default"/>
          <w:color w:val="auto"/>
          <w:lang w:val="en-US" w:eastAsia="zh-CN"/>
        </w:rPr>
        <w:t>评价安全生产保障体系的系统性、充分性和有效性，明确其是否满足实现安全生产的要求；</w:t>
      </w:r>
    </w:p>
    <w:p w14:paraId="7B711AC2">
      <w:pPr>
        <w:rPr>
          <w:rFonts w:hint="default"/>
          <w:color w:val="auto"/>
          <w:lang w:val="en-US" w:eastAsia="zh-CN"/>
        </w:rPr>
      </w:pPr>
      <w:r>
        <w:rPr>
          <w:rFonts w:hint="default"/>
          <w:color w:val="auto"/>
          <w:lang w:val="en-US" w:eastAsia="zh-CN"/>
        </w:rPr>
        <w:t>6</w:t>
      </w:r>
      <w:r>
        <w:rPr>
          <w:rFonts w:hint="eastAsia"/>
          <w:color w:val="auto"/>
          <w:lang w:val="en-US" w:eastAsia="zh-CN"/>
        </w:rPr>
        <w:t xml:space="preserve">. </w:t>
      </w:r>
      <w:r>
        <w:rPr>
          <w:rFonts w:hint="default"/>
          <w:color w:val="auto"/>
          <w:lang w:val="en-US" w:eastAsia="zh-CN"/>
        </w:rPr>
        <w:t>对评价项目可能产生的危险、有害因素提出合理可行的安全对策措施及建议。</w:t>
      </w:r>
    </w:p>
    <w:p w14:paraId="283EC647">
      <w:pPr>
        <w:pStyle w:val="3"/>
        <w:bidi w:val="0"/>
        <w:rPr>
          <w:rFonts w:hint="default"/>
          <w:color w:val="auto"/>
          <w:lang w:val="en-US" w:eastAsia="zh-CN"/>
        </w:rPr>
      </w:pPr>
      <w:bookmarkStart w:id="35" w:name="_Toc28392"/>
      <w:bookmarkStart w:id="36" w:name="_Toc22401"/>
      <w:bookmarkStart w:id="37" w:name="_Toc2233"/>
      <w:r>
        <w:rPr>
          <w:rFonts w:hint="default"/>
          <w:color w:val="auto"/>
          <w:lang w:val="en-US" w:eastAsia="zh-CN"/>
        </w:rPr>
        <w:t>1.3 评价依据</w:t>
      </w:r>
      <w:bookmarkEnd w:id="35"/>
      <w:bookmarkEnd w:id="36"/>
      <w:bookmarkEnd w:id="37"/>
    </w:p>
    <w:p w14:paraId="504021F3">
      <w:pPr>
        <w:pStyle w:val="4"/>
        <w:bidi w:val="0"/>
        <w:rPr>
          <w:rFonts w:hint="default"/>
          <w:color w:val="auto"/>
          <w:lang w:val="en-US" w:eastAsia="zh-CN"/>
        </w:rPr>
      </w:pPr>
      <w:bookmarkStart w:id="38" w:name="_Toc25667"/>
      <w:bookmarkStart w:id="39" w:name="_Toc19155"/>
      <w:bookmarkStart w:id="40" w:name="_Toc20784"/>
      <w:r>
        <w:rPr>
          <w:rFonts w:hint="default"/>
          <w:color w:val="auto"/>
          <w:lang w:val="en-US" w:eastAsia="zh-CN"/>
        </w:rPr>
        <w:t>1.3.1 法律、法规</w:t>
      </w:r>
      <w:bookmarkEnd w:id="38"/>
      <w:bookmarkEnd w:id="39"/>
      <w:bookmarkEnd w:id="40"/>
    </w:p>
    <w:p w14:paraId="70E73DA3">
      <w:pPr>
        <w:rPr>
          <w:rFonts w:hint="default"/>
          <w:color w:val="auto"/>
          <w:lang w:val="en-US" w:eastAsia="zh-CN"/>
        </w:rPr>
      </w:pPr>
      <w:r>
        <w:rPr>
          <w:rFonts w:hint="default"/>
          <w:color w:val="auto"/>
          <w:lang w:val="en-US" w:eastAsia="zh-CN"/>
        </w:rPr>
        <w:t>《中华人民共和国矿产资源法（2024年修正）》（主席令〔1986〕36号发布，依次经主席令〔1996〕74号、主席令〔2009〕18号、主席令〔2024〕36号修正，自1986年10月1日起施行）</w:t>
      </w:r>
    </w:p>
    <w:p w14:paraId="0E255994">
      <w:pPr>
        <w:rPr>
          <w:rFonts w:hint="default"/>
          <w:color w:val="auto"/>
          <w:lang w:val="en-US" w:eastAsia="zh-CN"/>
        </w:rPr>
      </w:pPr>
      <w:r>
        <w:rPr>
          <w:rFonts w:hint="default"/>
          <w:color w:val="auto"/>
          <w:lang w:val="en-US" w:eastAsia="zh-CN"/>
        </w:rPr>
        <w:t>《中华人民共和国环境保护法（2014年修正）》（主席令〔1989〕22号发布，经主席令〔2014〕9号修正，自1989年12月26日起施行）</w:t>
      </w:r>
    </w:p>
    <w:p w14:paraId="708C007E">
      <w:pPr>
        <w:rPr>
          <w:rFonts w:hint="default"/>
          <w:color w:val="auto"/>
          <w:lang w:val="en-US" w:eastAsia="zh-CN"/>
        </w:rPr>
      </w:pPr>
      <w:r>
        <w:rPr>
          <w:rFonts w:hint="default"/>
          <w:color w:val="auto"/>
          <w:lang w:val="en-US" w:eastAsia="zh-CN"/>
        </w:rPr>
        <w:t>《中华人民共和国水土保持法（2010年修正）》（主席令〔1991〕49号发布，依次经主席令〔2009〕18号、主席令〔2010〕39号修正，自1991年6月29日起施行）</w:t>
      </w:r>
    </w:p>
    <w:p w14:paraId="6BAA863B">
      <w:pPr>
        <w:rPr>
          <w:rFonts w:hint="default"/>
          <w:color w:val="auto"/>
          <w:lang w:val="en-US" w:eastAsia="zh-CN"/>
        </w:rPr>
      </w:pPr>
      <w:r>
        <w:rPr>
          <w:rFonts w:hint="default"/>
          <w:color w:val="auto"/>
          <w:lang w:val="en-US" w:eastAsia="zh-CN"/>
        </w:rPr>
        <w:t>《中华人民共和国矿山安全法（2009年修正）》（主席令〔1992〕65号发布，经主席令〔2009〕18号修正，自1993年5月1日起施行）</w:t>
      </w:r>
    </w:p>
    <w:p w14:paraId="08EACA4C">
      <w:pPr>
        <w:rPr>
          <w:rFonts w:hint="default"/>
          <w:color w:val="auto"/>
          <w:lang w:val="en-US" w:eastAsia="zh-CN"/>
        </w:rPr>
      </w:pPr>
      <w:r>
        <w:rPr>
          <w:rFonts w:hint="default"/>
          <w:color w:val="auto"/>
          <w:lang w:val="en-US" w:eastAsia="zh-CN"/>
        </w:rPr>
        <w:t>《中华人民共和国劳动法（2018年修正）》（主席令〔1994〕28号发布，依次经主席令〔2009〕18号、主席令〔2018〕24号修正，自1995年1月1日起施行）</w:t>
      </w:r>
    </w:p>
    <w:p w14:paraId="77FB47D0">
      <w:pPr>
        <w:rPr>
          <w:rFonts w:hint="default"/>
          <w:color w:val="auto"/>
          <w:lang w:val="en-US" w:eastAsia="zh-CN"/>
        </w:rPr>
      </w:pPr>
      <w:r>
        <w:rPr>
          <w:rFonts w:hint="default"/>
          <w:color w:val="auto"/>
          <w:lang w:val="en-US" w:eastAsia="zh-CN"/>
        </w:rPr>
        <w:t>《中华人民共和国固体废物污染环境防治法（2020年修正版）》（主席令〔1995〕58号发布，依次经主席令〔2004〕31号、主席令〔2013〕5号、主席令〔2015〕23号、主席令〔2016〕57号、主席令〔2020〕43号修正，自1996年4月1日起施行）</w:t>
      </w:r>
    </w:p>
    <w:p w14:paraId="04602642">
      <w:pPr>
        <w:rPr>
          <w:rFonts w:hint="default"/>
          <w:color w:val="auto"/>
          <w:lang w:val="en-US" w:eastAsia="zh-CN"/>
        </w:rPr>
      </w:pPr>
      <w:r>
        <w:rPr>
          <w:rFonts w:hint="default"/>
          <w:color w:val="auto"/>
          <w:lang w:val="en-US" w:eastAsia="zh-CN"/>
        </w:rPr>
        <w:t>《中华人民共和国防洪法（2016年修正）》（主席令〔1997〕第88号发布，依次经主席令〔2009〕第18号、主席令〔2015〕第23号、主席令〔2016〕第48号修正，自1998年1月1日起施行）</w:t>
      </w:r>
    </w:p>
    <w:p w14:paraId="3AF43C7A">
      <w:pPr>
        <w:rPr>
          <w:rFonts w:hint="default"/>
          <w:color w:val="auto"/>
          <w:lang w:val="en-US" w:eastAsia="zh-CN"/>
        </w:rPr>
      </w:pPr>
      <w:r>
        <w:rPr>
          <w:rFonts w:hint="default"/>
          <w:color w:val="auto"/>
          <w:lang w:val="en-US" w:eastAsia="zh-CN"/>
        </w:rPr>
        <w:t>《中华人民共和国防震减灾法（2008年修订）》（主席令〔1997〕94号发布，经主席令〔2008〕7号修正，自1997年12月29日起施行）</w:t>
      </w:r>
    </w:p>
    <w:p w14:paraId="68348A06">
      <w:pPr>
        <w:rPr>
          <w:rFonts w:hint="default"/>
          <w:color w:val="auto"/>
          <w:lang w:val="en-US" w:eastAsia="zh-CN"/>
        </w:rPr>
      </w:pPr>
      <w:r>
        <w:rPr>
          <w:rFonts w:hint="default"/>
          <w:color w:val="auto"/>
          <w:lang w:val="en-US" w:eastAsia="zh-CN"/>
        </w:rPr>
        <w:t>《中华人民共和国消防法（2021年修正）》（主席令〔1998〕4号发布，依次经主席令〔2008〕6号、主席令〔2019〕29号、主席令〔2021〕81号修正，自1998年9月1日起施行）</w:t>
      </w:r>
    </w:p>
    <w:p w14:paraId="7F747879">
      <w:pPr>
        <w:rPr>
          <w:rFonts w:hint="default"/>
          <w:color w:val="auto"/>
          <w:lang w:val="en-US" w:eastAsia="zh-CN"/>
        </w:rPr>
      </w:pPr>
      <w:r>
        <w:rPr>
          <w:rFonts w:hint="default"/>
          <w:color w:val="auto"/>
          <w:lang w:val="en-US" w:eastAsia="zh-CN"/>
        </w:rPr>
        <w:t>《中华人民共和国气象法（2016年修正）》（主席令〔1999〕23号发布，依次经主席令〔2009〕18号、主席令〔2014〕14号、主席令〔2016〕57号修正，自2000年1月1日起实施）</w:t>
      </w:r>
    </w:p>
    <w:p w14:paraId="0D908B68">
      <w:pPr>
        <w:rPr>
          <w:rFonts w:hint="default"/>
          <w:color w:val="auto"/>
          <w:lang w:val="en-US" w:eastAsia="zh-CN"/>
        </w:rPr>
      </w:pPr>
      <w:r>
        <w:rPr>
          <w:rFonts w:hint="default"/>
          <w:color w:val="auto"/>
          <w:lang w:val="en-US" w:eastAsia="zh-CN"/>
        </w:rPr>
        <w:t>《中华人民共和国职业病防治法（2018年修正）》（主席令〔2001〕60号发布，依次经主席令〔2011〕52号、主席令〔2016〕48号、主席令〔2017〕81号、主席令〔2018〕24号修正，自2002年5月1日起施行）</w:t>
      </w:r>
    </w:p>
    <w:p w14:paraId="71105959">
      <w:pPr>
        <w:rPr>
          <w:rFonts w:hint="default"/>
          <w:color w:val="auto"/>
          <w:lang w:val="en-US" w:eastAsia="zh-CN"/>
        </w:rPr>
      </w:pPr>
      <w:r>
        <w:rPr>
          <w:rFonts w:hint="default"/>
          <w:color w:val="auto"/>
          <w:lang w:val="en-US" w:eastAsia="zh-CN"/>
        </w:rPr>
        <w:t>《中华人民共和国安全生产法（2021年修正）》（主席令〔2002〕70号发布，依次经主席令〔2009〕18号、主席令〔2014〕13号、主席令〔2021〕88号修正，自2002年11月1日起施行）</w:t>
      </w:r>
    </w:p>
    <w:p w14:paraId="496348E8">
      <w:pPr>
        <w:rPr>
          <w:rFonts w:hint="default"/>
          <w:color w:val="auto"/>
          <w:lang w:val="en-US" w:eastAsia="zh-CN"/>
        </w:rPr>
      </w:pPr>
      <w:r>
        <w:rPr>
          <w:rFonts w:hint="default"/>
          <w:color w:val="auto"/>
          <w:lang w:val="en-US" w:eastAsia="zh-CN"/>
        </w:rPr>
        <w:t>《中华人民共和国突发事件应对法（2024年修正）》（主席令〔2007〕69号发布，经主席令〔2024〕25号修正，自2007年11月1日起施行）</w:t>
      </w:r>
    </w:p>
    <w:p w14:paraId="194E20E2">
      <w:pPr>
        <w:rPr>
          <w:rFonts w:hint="default"/>
          <w:color w:val="auto"/>
          <w:lang w:val="en-US" w:eastAsia="zh-CN"/>
        </w:rPr>
      </w:pPr>
      <w:r>
        <w:rPr>
          <w:rFonts w:hint="default"/>
          <w:color w:val="auto"/>
          <w:lang w:val="en-US" w:eastAsia="zh-CN"/>
        </w:rPr>
        <w:t>《中华人民共和国特种设备安全法》（主席令〔2013〕4号发布，自2014年1月1日起实施）</w:t>
      </w:r>
    </w:p>
    <w:p w14:paraId="0461FF7D">
      <w:pPr>
        <w:rPr>
          <w:rFonts w:hint="default"/>
          <w:color w:val="auto"/>
          <w:lang w:val="en-US" w:eastAsia="zh-CN"/>
        </w:rPr>
      </w:pPr>
      <w:r>
        <w:rPr>
          <w:rFonts w:hint="default"/>
          <w:color w:val="auto"/>
          <w:lang w:val="en-US" w:eastAsia="zh-CN"/>
        </w:rPr>
        <w:t>《中华人民共和国尘肺病防治条例》（国发〔1987〕105号发布，自1987年12月3日起实施）</w:t>
      </w:r>
    </w:p>
    <w:p w14:paraId="2FF3B695">
      <w:pPr>
        <w:rPr>
          <w:rFonts w:hint="default"/>
          <w:color w:val="auto"/>
          <w:lang w:val="en-US" w:eastAsia="zh-CN"/>
        </w:rPr>
      </w:pPr>
      <w:r>
        <w:rPr>
          <w:rFonts w:hint="default"/>
          <w:color w:val="auto"/>
          <w:lang w:val="en-US" w:eastAsia="zh-CN"/>
        </w:rPr>
        <w:t>《建设工程质量管理条例（2019年修正）》（国务院令〔2000〕279号发布，依次经国务院令〔2017〕687号、国务院令〔2019〕714号修正，自2000年1月30日起施行）</w:t>
      </w:r>
    </w:p>
    <w:p w14:paraId="4F82FFF8">
      <w:pPr>
        <w:rPr>
          <w:rFonts w:hint="default"/>
          <w:color w:val="auto"/>
          <w:lang w:val="en-US" w:eastAsia="zh-CN"/>
        </w:rPr>
      </w:pPr>
      <w:r>
        <w:rPr>
          <w:rFonts w:hint="default"/>
          <w:color w:val="auto"/>
          <w:lang w:val="en-US" w:eastAsia="zh-CN"/>
        </w:rPr>
        <w:t>《建设工程勘察设计管理条例（2017年修正）》（国务院令〔2000〕293号发布，依次经国务院令〔2015〕662号、国务院令〔2017〕687号修正，自2000年9月25日起施行）</w:t>
      </w:r>
    </w:p>
    <w:p w14:paraId="36410008">
      <w:pPr>
        <w:rPr>
          <w:rFonts w:hint="default"/>
          <w:color w:val="auto"/>
          <w:lang w:val="en-US" w:eastAsia="zh-CN"/>
        </w:rPr>
      </w:pPr>
      <w:r>
        <w:rPr>
          <w:rFonts w:hint="default"/>
          <w:color w:val="auto"/>
          <w:lang w:val="en-US" w:eastAsia="zh-CN"/>
        </w:rPr>
        <w:t>《特种设备</w:t>
      </w:r>
      <w:r>
        <w:rPr>
          <w:rFonts w:hint="eastAsia"/>
          <w:color w:val="auto"/>
          <w:lang w:val="en-US" w:eastAsia="zh-CN"/>
        </w:rPr>
        <w:t>安全</w:t>
      </w:r>
      <w:r>
        <w:rPr>
          <w:rFonts w:hint="default"/>
          <w:color w:val="auto"/>
          <w:lang w:val="en-US" w:eastAsia="zh-CN"/>
        </w:rPr>
        <w:t>监察条例（2009年修正）》（国务院令〔2003〕373号发布，经国务院令〔2009〕549号修正，自2003年6月1日起施行）</w:t>
      </w:r>
    </w:p>
    <w:p w14:paraId="22FEBE6C">
      <w:pPr>
        <w:rPr>
          <w:rFonts w:hint="default"/>
          <w:color w:val="auto"/>
          <w:lang w:val="en-US" w:eastAsia="zh-CN"/>
        </w:rPr>
      </w:pPr>
      <w:r>
        <w:rPr>
          <w:rFonts w:hint="default"/>
          <w:color w:val="auto"/>
          <w:lang w:val="en-US" w:eastAsia="zh-CN"/>
        </w:rPr>
        <w:t>《工伤保险条例（2010年修正）》（国务院令〔2003〕375号发布，经国务院令〔2010〕586号修正，自2004年1月1日起施行）</w:t>
      </w:r>
    </w:p>
    <w:p w14:paraId="3556DE4B">
      <w:pPr>
        <w:rPr>
          <w:rFonts w:hint="default"/>
          <w:color w:val="auto"/>
          <w:lang w:val="en-US" w:eastAsia="zh-CN"/>
        </w:rPr>
      </w:pPr>
      <w:r>
        <w:rPr>
          <w:rFonts w:hint="default"/>
          <w:color w:val="auto"/>
          <w:lang w:val="en-US" w:eastAsia="zh-CN"/>
        </w:rPr>
        <w:t>《建设工程安全生产管理条例》（国务院令〔2003〕393号发布，自2004年2月1日起施行）</w:t>
      </w:r>
    </w:p>
    <w:p w14:paraId="75B24184">
      <w:pPr>
        <w:rPr>
          <w:rFonts w:hint="default"/>
          <w:color w:val="auto"/>
          <w:lang w:val="en-US" w:eastAsia="zh-CN"/>
        </w:rPr>
      </w:pPr>
      <w:r>
        <w:rPr>
          <w:rFonts w:hint="default"/>
          <w:color w:val="auto"/>
          <w:lang w:val="en-US" w:eastAsia="zh-CN"/>
        </w:rPr>
        <w:t>《地质灾害防治条例》（国务院令〔2003〕394号发布，自2004年3月1日起施行）</w:t>
      </w:r>
    </w:p>
    <w:p w14:paraId="78473E17">
      <w:pPr>
        <w:rPr>
          <w:rFonts w:hint="default"/>
          <w:color w:val="auto"/>
          <w:lang w:val="en-US" w:eastAsia="zh-CN"/>
        </w:rPr>
      </w:pPr>
      <w:r>
        <w:rPr>
          <w:rFonts w:hint="default"/>
          <w:color w:val="auto"/>
          <w:lang w:val="en-US" w:eastAsia="zh-CN"/>
        </w:rPr>
        <w:t>《安全生产许可证条例（2014年修正）》（国务院令〔2004〕397号发布，依次经国务院令〔2013〕638号、国务院令〔2014〕653号修正，自2004年1月13日起施行）</w:t>
      </w:r>
    </w:p>
    <w:p w14:paraId="387C412B">
      <w:pPr>
        <w:rPr>
          <w:rFonts w:hint="default"/>
          <w:color w:val="auto"/>
          <w:lang w:val="en-US" w:eastAsia="zh-CN"/>
        </w:rPr>
      </w:pPr>
      <w:r>
        <w:rPr>
          <w:rFonts w:hint="default"/>
          <w:color w:val="auto"/>
          <w:lang w:val="en-US" w:eastAsia="zh-CN"/>
        </w:rPr>
        <w:t>《劳动保障监察条例》（国务院令〔2004〕423号发布，自2004年12月1日起施行）</w:t>
      </w:r>
    </w:p>
    <w:p w14:paraId="4BC24A40">
      <w:pPr>
        <w:rPr>
          <w:rFonts w:hint="default"/>
          <w:color w:val="auto"/>
          <w:lang w:val="en-US" w:eastAsia="zh-CN"/>
        </w:rPr>
      </w:pPr>
      <w:r>
        <w:rPr>
          <w:rFonts w:hint="default"/>
          <w:color w:val="auto"/>
          <w:lang w:val="en-US" w:eastAsia="zh-CN"/>
        </w:rPr>
        <w:t>《民用爆炸物品安全管理条例（2014年修正）》（国务院令〔2006〕466号发布，经国务院令〔2014〕653号修正，自2006年9月1日起施行）</w:t>
      </w:r>
    </w:p>
    <w:p w14:paraId="4077BA12">
      <w:pPr>
        <w:rPr>
          <w:rFonts w:hint="default"/>
          <w:color w:val="auto"/>
          <w:lang w:val="en-US" w:eastAsia="zh-CN"/>
        </w:rPr>
      </w:pPr>
      <w:r>
        <w:rPr>
          <w:rFonts w:hint="default"/>
          <w:color w:val="auto"/>
          <w:lang w:val="en-US" w:eastAsia="zh-CN"/>
        </w:rPr>
        <w:t>《生产安全事故报告和调查处理条例》（国务院令〔2007〕493号发布，自2007年6月1日起施行）</w:t>
      </w:r>
    </w:p>
    <w:p w14:paraId="06FA3843">
      <w:pPr>
        <w:rPr>
          <w:rFonts w:hint="default"/>
          <w:color w:val="auto"/>
          <w:lang w:val="en-US" w:eastAsia="zh-CN"/>
        </w:rPr>
      </w:pPr>
      <w:r>
        <w:rPr>
          <w:rFonts w:hint="default"/>
          <w:color w:val="auto"/>
          <w:lang w:val="en-US" w:eastAsia="zh-CN"/>
        </w:rPr>
        <w:t>《气象灾害防御条例》（国务院令〔2010〕570号发布，经国务院令〔2017〕687号修正，自2010年4月1日起施行）</w:t>
      </w:r>
    </w:p>
    <w:p w14:paraId="18CC4CA3">
      <w:pPr>
        <w:rPr>
          <w:rFonts w:hint="default"/>
          <w:color w:val="auto"/>
          <w:lang w:val="en-US" w:eastAsia="zh-CN"/>
        </w:rPr>
      </w:pPr>
      <w:r>
        <w:rPr>
          <w:rFonts w:hint="default"/>
          <w:color w:val="auto"/>
          <w:lang w:val="en-US" w:eastAsia="zh-CN"/>
        </w:rPr>
        <w:t>《女职工劳动保护特别规定》（国务院令〔2012〕619号发布，自2012年4月28日起施行）</w:t>
      </w:r>
    </w:p>
    <w:p w14:paraId="4958FE3A">
      <w:pPr>
        <w:rPr>
          <w:rFonts w:hint="default"/>
          <w:color w:val="auto"/>
          <w:lang w:val="en-US" w:eastAsia="zh-CN"/>
        </w:rPr>
      </w:pPr>
      <w:r>
        <w:rPr>
          <w:rFonts w:hint="default"/>
          <w:color w:val="auto"/>
          <w:lang w:val="en-US" w:eastAsia="zh-CN"/>
        </w:rPr>
        <w:t>《生产安全事故应急条例》（国务院令〔2019〕708号发布，自2019年4月1日起施行）</w:t>
      </w:r>
    </w:p>
    <w:p w14:paraId="681348BB">
      <w:pPr>
        <w:rPr>
          <w:rFonts w:hint="default"/>
          <w:color w:val="auto"/>
          <w:lang w:val="en-US" w:eastAsia="zh-CN"/>
        </w:rPr>
      </w:pPr>
      <w:r>
        <w:rPr>
          <w:rFonts w:hint="default"/>
          <w:color w:val="auto"/>
          <w:lang w:val="en-US" w:eastAsia="zh-CN"/>
        </w:rPr>
        <w:t>《江西省消防条例（2020年修正）》（赣人常〔1995〕19次发布，依次经赣人常〔1997〕27次、赣人常〔1999〕27号、赣人常〔2001〕75号、赣人常〔2010〕57号、赣人常〔2011〕89号、赣人常〔2018〕15号、赣人常〔2020〕81号修正，自1996年1月1日起施行）</w:t>
      </w:r>
    </w:p>
    <w:p w14:paraId="3A68A7EE">
      <w:pPr>
        <w:rPr>
          <w:rFonts w:hint="default"/>
          <w:color w:val="auto"/>
          <w:lang w:val="en-US" w:eastAsia="zh-CN"/>
        </w:rPr>
      </w:pPr>
      <w:r>
        <w:rPr>
          <w:rFonts w:hint="default"/>
          <w:color w:val="auto"/>
          <w:lang w:val="en-US" w:eastAsia="zh-CN"/>
        </w:rPr>
        <w:t>《江西省矿产资源开采管理条例（2014年修正）》（1999年10月23日江西省第九届人民代表大会常务委员会第十二次会议通过，2011年12月1日江西省第十一届人民代表大会常务委员会第二十八次会议修正，2014年5月29日江西省第十二届人民代表大会常务委员会第十一次会议修正，自2000年1月1日起施行）</w:t>
      </w:r>
    </w:p>
    <w:p w14:paraId="2DBE3051">
      <w:pPr>
        <w:rPr>
          <w:rFonts w:hint="default"/>
          <w:color w:val="auto"/>
          <w:lang w:val="en-US" w:eastAsia="zh-CN"/>
        </w:rPr>
      </w:pPr>
      <w:r>
        <w:rPr>
          <w:rFonts w:hint="default"/>
          <w:color w:val="auto"/>
          <w:lang w:val="en-US" w:eastAsia="zh-CN"/>
        </w:rPr>
        <w:t>《江西省安全生产条例（2023年修正）》（赣人常〔2007〕95号发布，经赣人常〔2017〕137号、赣人常〔2019〕44号、赣人常〔2023〕10号修正，自2007年5月1日起施行）</w:t>
      </w:r>
    </w:p>
    <w:p w14:paraId="62AFECF6">
      <w:pPr>
        <w:rPr>
          <w:rFonts w:hint="default"/>
          <w:color w:val="auto"/>
          <w:lang w:val="en-US" w:eastAsia="zh-CN"/>
        </w:rPr>
      </w:pPr>
      <w:r>
        <w:rPr>
          <w:rFonts w:hint="default"/>
          <w:color w:val="auto"/>
          <w:lang w:val="en-US" w:eastAsia="zh-CN"/>
        </w:rPr>
        <w:t>《江西省非煤矿矿山企业安全生产许可证实施办法》（赣政令〔2011〕189号发布，经赣政令〔2019〕241号修正，自2011年3月1日起施行）</w:t>
      </w:r>
    </w:p>
    <w:p w14:paraId="38F5E01F">
      <w:pPr>
        <w:rPr>
          <w:rFonts w:hint="default"/>
          <w:color w:val="auto"/>
          <w:lang w:val="en-US" w:eastAsia="zh-CN"/>
        </w:rPr>
      </w:pPr>
      <w:r>
        <w:rPr>
          <w:rFonts w:hint="default"/>
          <w:color w:val="auto"/>
          <w:lang w:val="en-US" w:eastAsia="zh-CN"/>
        </w:rPr>
        <w:t>《江西省雷电灾害防御办法》（赣政令〔2012〕197号发布，依次经赣政令〔2015〕219号、赣政令〔2017〕227号、赣政令〔2019〕241号、赣政令〔2023〕261号修正，自2012年3月1日起施行）</w:t>
      </w:r>
    </w:p>
    <w:p w14:paraId="512CF4AF">
      <w:pPr>
        <w:rPr>
          <w:rFonts w:hint="default"/>
          <w:color w:val="auto"/>
          <w:lang w:val="en-US" w:eastAsia="zh-CN"/>
        </w:rPr>
      </w:pPr>
      <w:r>
        <w:rPr>
          <w:rFonts w:hint="default"/>
          <w:color w:val="auto"/>
          <w:lang w:val="en-US" w:eastAsia="zh-CN"/>
        </w:rPr>
        <w:t>《江西省生产安全事故隐患排查治理办法》（赣政令〔2018〕238号发布，经赣政令〔2021〕250号修正，自2018年12月1日起施行）</w:t>
      </w:r>
    </w:p>
    <w:p w14:paraId="607737C8">
      <w:pPr>
        <w:pStyle w:val="4"/>
        <w:bidi w:val="0"/>
        <w:rPr>
          <w:rFonts w:hint="default"/>
          <w:color w:val="auto"/>
          <w:lang w:val="en-US" w:eastAsia="zh-CN"/>
        </w:rPr>
      </w:pPr>
      <w:bookmarkStart w:id="41" w:name="_Toc24335"/>
      <w:bookmarkStart w:id="42" w:name="_Toc22098"/>
      <w:bookmarkStart w:id="43" w:name="_Toc13280"/>
      <w:r>
        <w:rPr>
          <w:rFonts w:hint="default"/>
          <w:color w:val="auto"/>
          <w:lang w:val="en-US" w:eastAsia="zh-CN"/>
        </w:rPr>
        <w:t>1.3.2 规章、规范性文件</w:t>
      </w:r>
      <w:bookmarkEnd w:id="41"/>
      <w:bookmarkEnd w:id="42"/>
      <w:bookmarkEnd w:id="43"/>
    </w:p>
    <w:p w14:paraId="6B2C90D3">
      <w:pPr>
        <w:rPr>
          <w:rFonts w:hint="default"/>
          <w:color w:val="auto"/>
          <w:lang w:val="en-US" w:eastAsia="zh-CN"/>
        </w:rPr>
      </w:pPr>
      <w:r>
        <w:rPr>
          <w:rFonts w:hint="default"/>
          <w:color w:val="auto"/>
          <w:lang w:val="en-US" w:eastAsia="zh-CN"/>
        </w:rPr>
        <w:t>《安全生产事故隐患排查治理暂行规定》（国家安监总局令〔2007〕第16号，自2008年2月1日起施行）</w:t>
      </w:r>
    </w:p>
    <w:p w14:paraId="2EB70B98">
      <w:pPr>
        <w:rPr>
          <w:rFonts w:hint="default"/>
          <w:color w:val="auto"/>
          <w:lang w:val="en-US" w:eastAsia="zh-CN"/>
        </w:rPr>
      </w:pPr>
      <w:r>
        <w:rPr>
          <w:rFonts w:hint="default"/>
          <w:color w:val="auto"/>
          <w:lang w:val="en-US" w:eastAsia="zh-CN"/>
        </w:rPr>
        <w:t>《生产安全事故信息报告和处置办法》（国家安监总局令〔2009〕第21号，自2009年7月1日起施行）</w:t>
      </w:r>
    </w:p>
    <w:p w14:paraId="0B5ED9D6">
      <w:pPr>
        <w:rPr>
          <w:rFonts w:hint="default"/>
          <w:color w:val="auto"/>
          <w:lang w:val="en-US" w:eastAsia="zh-CN"/>
        </w:rPr>
      </w:pPr>
      <w:r>
        <w:rPr>
          <w:rFonts w:hint="default"/>
          <w:color w:val="auto"/>
          <w:lang w:val="en-US" w:eastAsia="zh-CN"/>
        </w:rPr>
        <w:t>《国务院关于进一步加强企业安全生产工作的通知》（国发〔2010〕23号，2010年7月19日）</w:t>
      </w:r>
    </w:p>
    <w:p w14:paraId="484CED26">
      <w:pPr>
        <w:rPr>
          <w:rFonts w:hint="default"/>
          <w:color w:val="auto"/>
          <w:lang w:val="en-US" w:eastAsia="zh-CN"/>
        </w:rPr>
      </w:pPr>
      <w:r>
        <w:rPr>
          <w:rFonts w:hint="default"/>
          <w:color w:val="auto"/>
          <w:lang w:val="en-US" w:eastAsia="zh-CN"/>
        </w:rPr>
        <w:t>《国务院关于坚持科学发展安全发展促进安全生产形势持续稳定好转的意见》（国发〔2011〕40号</w:t>
      </w:r>
      <w:r>
        <w:rPr>
          <w:rFonts w:hint="eastAsia"/>
          <w:color w:val="auto"/>
          <w:lang w:val="en-US" w:eastAsia="zh-CN"/>
        </w:rPr>
        <w:t>，2011年11月26日</w:t>
      </w:r>
      <w:r>
        <w:rPr>
          <w:rFonts w:hint="default"/>
          <w:color w:val="auto"/>
          <w:lang w:val="en-US" w:eastAsia="zh-CN"/>
        </w:rPr>
        <w:t>）</w:t>
      </w:r>
    </w:p>
    <w:p w14:paraId="6EADC70E">
      <w:pPr>
        <w:rPr>
          <w:rFonts w:hint="default"/>
          <w:color w:val="auto"/>
          <w:lang w:val="en-US" w:eastAsia="zh-CN"/>
        </w:rPr>
      </w:pPr>
      <w:r>
        <w:rPr>
          <w:rFonts w:hint="default"/>
          <w:color w:val="auto"/>
          <w:lang w:val="en-US" w:eastAsia="zh-CN"/>
        </w:rPr>
        <w:t>《部分工业行业淘汰落后生产工艺装备和产品指导目录（2010年本）》（工产业〔2010〕第122号，2010年10月13日）</w:t>
      </w:r>
    </w:p>
    <w:p w14:paraId="64D7801D">
      <w:pPr>
        <w:rPr>
          <w:rFonts w:hint="default"/>
          <w:color w:val="auto"/>
          <w:lang w:val="en-US" w:eastAsia="zh-CN"/>
        </w:rPr>
      </w:pPr>
      <w:r>
        <w:rPr>
          <w:rFonts w:hint="default"/>
          <w:color w:val="auto"/>
          <w:lang w:val="en-US" w:eastAsia="zh-CN"/>
        </w:rPr>
        <w:t>《国务院关于加强地质灾害防治工作的决定》（国发〔2011〕20号，2011年6月13日）</w:t>
      </w:r>
    </w:p>
    <w:p w14:paraId="7B3BF697">
      <w:pPr>
        <w:rPr>
          <w:rFonts w:hint="default"/>
          <w:color w:val="auto"/>
          <w:lang w:val="en-US" w:eastAsia="zh-CN"/>
        </w:rPr>
      </w:pPr>
      <w:r>
        <w:rPr>
          <w:rFonts w:hint="default"/>
          <w:color w:val="auto"/>
          <w:lang w:val="en-US" w:eastAsia="zh-CN"/>
        </w:rPr>
        <w:t>《国务院关于坚持科学发展安全发展促进安全生产形势持续稳定好转的意见》（国发〔2011〕40号，2011年11月26日）</w:t>
      </w:r>
    </w:p>
    <w:p w14:paraId="2AFD8B0E">
      <w:pPr>
        <w:rPr>
          <w:rFonts w:hint="default"/>
          <w:color w:val="auto"/>
          <w:lang w:val="en-US" w:eastAsia="zh-CN"/>
        </w:rPr>
      </w:pPr>
      <w:r>
        <w:rPr>
          <w:rFonts w:hint="default"/>
          <w:color w:val="auto"/>
          <w:lang w:val="en-US" w:eastAsia="zh-CN"/>
        </w:rPr>
        <w:t>《关于认真学习贯彻〈国务院关于坚持科学发展安全发展促进安全生产形势持续稳定好转的意见〉的通知》（安委办〔2011〕48号，2011年12月6日）</w:t>
      </w:r>
    </w:p>
    <w:p w14:paraId="76265494">
      <w:pPr>
        <w:rPr>
          <w:rFonts w:hint="default"/>
          <w:color w:val="auto"/>
          <w:lang w:val="en-US" w:eastAsia="zh-CN"/>
        </w:rPr>
      </w:pPr>
      <w:r>
        <w:rPr>
          <w:rFonts w:hint="default"/>
          <w:color w:val="auto"/>
          <w:lang w:val="en-US" w:eastAsia="zh-CN"/>
        </w:rPr>
        <w:t>《非煤矿山外包工程安全管理暂行办法》（国家安监总局令</w:t>
      </w:r>
      <w:r>
        <w:rPr>
          <w:rFonts w:hint="eastAsia" w:ascii="Times New Roman" w:eastAsia="宋体"/>
          <w:color w:val="auto"/>
          <w:lang w:val="en-US" w:eastAsia="zh-CN"/>
        </w:rPr>
        <w:t>〔</w:t>
      </w:r>
      <w:r>
        <w:rPr>
          <w:rFonts w:hint="default"/>
          <w:color w:val="auto"/>
          <w:lang w:val="en-US" w:eastAsia="zh-CN"/>
        </w:rPr>
        <w:t>2013</w:t>
      </w:r>
      <w:r>
        <w:rPr>
          <w:rFonts w:hint="eastAsia" w:ascii="Times New Roman" w:eastAsia="宋体"/>
          <w:color w:val="auto"/>
          <w:lang w:val="en-US" w:eastAsia="zh-CN"/>
        </w:rPr>
        <w:t>〕</w:t>
      </w:r>
      <w:r>
        <w:rPr>
          <w:rFonts w:hint="default"/>
          <w:color w:val="auto"/>
          <w:lang w:val="en-US" w:eastAsia="zh-CN"/>
        </w:rPr>
        <w:t>第62号发布，经国家安监总局令</w:t>
      </w:r>
      <w:r>
        <w:rPr>
          <w:rFonts w:hint="eastAsia" w:ascii="Times New Roman" w:eastAsia="宋体"/>
          <w:color w:val="auto"/>
          <w:lang w:val="en-US" w:eastAsia="zh-CN"/>
        </w:rPr>
        <w:t>〔</w:t>
      </w:r>
      <w:r>
        <w:rPr>
          <w:rFonts w:hint="default"/>
          <w:color w:val="auto"/>
          <w:lang w:val="en-US" w:eastAsia="zh-CN"/>
        </w:rPr>
        <w:t>2015</w:t>
      </w:r>
      <w:r>
        <w:rPr>
          <w:rFonts w:hint="eastAsia" w:ascii="Times New Roman" w:eastAsia="宋体"/>
          <w:color w:val="auto"/>
          <w:lang w:val="en-US" w:eastAsia="zh-CN"/>
        </w:rPr>
        <w:t>〕</w:t>
      </w:r>
      <w:r>
        <w:rPr>
          <w:rFonts w:hint="default"/>
          <w:color w:val="auto"/>
          <w:lang w:val="en-US" w:eastAsia="zh-CN"/>
        </w:rPr>
        <w:t>第78号修正，自2013年10月1日起施行）</w:t>
      </w:r>
    </w:p>
    <w:p w14:paraId="2AA9CED8">
      <w:pPr>
        <w:rPr>
          <w:rFonts w:hint="default"/>
          <w:color w:val="auto"/>
          <w:lang w:val="en-US" w:eastAsia="zh-CN"/>
        </w:rPr>
      </w:pPr>
      <w:r>
        <w:rPr>
          <w:rFonts w:hint="default"/>
          <w:color w:val="auto"/>
          <w:lang w:val="en-US" w:eastAsia="zh-CN"/>
        </w:rPr>
        <w:t>《国家安全监管总局关于发布金属非金属矿山禁止使用的设备及工艺目录（第一批）的通知》（安监总管一〔2013〕101号，2013年9月6日）</w:t>
      </w:r>
    </w:p>
    <w:p w14:paraId="66DAD3EF">
      <w:pPr>
        <w:rPr>
          <w:rFonts w:hint="default"/>
          <w:color w:val="auto"/>
          <w:lang w:val="en-US" w:eastAsia="zh-CN"/>
        </w:rPr>
      </w:pPr>
      <w:r>
        <w:rPr>
          <w:rFonts w:hint="default"/>
          <w:color w:val="auto"/>
          <w:lang w:val="en-US" w:eastAsia="zh-CN"/>
        </w:rPr>
        <w:t>《国家安全监管总局关于发布金属非金属矿山禁止使用的设备及工艺目录（第二批）的通知》（安监总管一〔2015〕13号，2015年2月13日）</w:t>
      </w:r>
    </w:p>
    <w:p w14:paraId="60B822B8">
      <w:pPr>
        <w:rPr>
          <w:rFonts w:hint="default"/>
          <w:color w:val="auto"/>
          <w:lang w:val="en-US" w:eastAsia="zh-CN"/>
        </w:rPr>
      </w:pPr>
      <w:r>
        <w:rPr>
          <w:rFonts w:hint="default"/>
          <w:color w:val="auto"/>
          <w:lang w:val="en-US" w:eastAsia="zh-CN"/>
        </w:rPr>
        <w:t>《金属非金属矿山建设项目安全设施目录（试行）》（国家安监总局令〔2015〕第75号，2015年7月1日）</w:t>
      </w:r>
    </w:p>
    <w:p w14:paraId="6B42B362">
      <w:pPr>
        <w:rPr>
          <w:rFonts w:hint="default"/>
          <w:color w:val="auto"/>
          <w:lang w:val="en-US" w:eastAsia="zh-CN"/>
        </w:rPr>
      </w:pPr>
      <w:r>
        <w:rPr>
          <w:rFonts w:hint="default"/>
          <w:color w:val="auto"/>
          <w:lang w:val="en-US" w:eastAsia="zh-CN"/>
        </w:rPr>
        <w:t>《关于印发用人单位劳动防护用品管理规范的通知》（安监总管一〔2015〕124号</w:t>
      </w:r>
      <w:r>
        <w:rPr>
          <w:rFonts w:hint="eastAsia"/>
          <w:color w:val="auto"/>
          <w:lang w:val="en-US" w:eastAsia="zh-CN"/>
        </w:rPr>
        <w:t>，2015年12月29日</w:t>
      </w:r>
      <w:r>
        <w:rPr>
          <w:rFonts w:hint="default"/>
          <w:color w:val="auto"/>
          <w:lang w:val="en-US" w:eastAsia="zh-CN"/>
        </w:rPr>
        <w:t>）</w:t>
      </w:r>
    </w:p>
    <w:p w14:paraId="0528081E">
      <w:pPr>
        <w:rPr>
          <w:rFonts w:hint="default"/>
          <w:color w:val="auto"/>
          <w:lang w:val="en-US" w:eastAsia="zh-CN"/>
        </w:rPr>
      </w:pPr>
      <w:r>
        <w:rPr>
          <w:rFonts w:hint="default"/>
          <w:color w:val="auto"/>
          <w:lang w:val="en-US" w:eastAsia="zh-CN"/>
        </w:rPr>
        <w:t>《非煤矿矿山企业安全生产许可证实施办法（2015年修正）》（国家安监总局令〔2004〕9号发布，经安监总局令〔2009〕20号、安监总局令〔2015〕78号修正，自2004年5月17日起施行）</w:t>
      </w:r>
    </w:p>
    <w:p w14:paraId="5B8304E9">
      <w:pPr>
        <w:rPr>
          <w:rFonts w:hint="default"/>
          <w:color w:val="auto"/>
          <w:lang w:val="en-US" w:eastAsia="zh-CN"/>
        </w:rPr>
      </w:pPr>
      <w:r>
        <w:rPr>
          <w:rFonts w:hint="default"/>
          <w:color w:val="auto"/>
          <w:lang w:val="en-US" w:eastAsia="zh-CN"/>
        </w:rPr>
        <w:t>《安全生产培训管理办法（2015年修正）》（国家安监总局令〔2004〕第20号发布，经国家安监总局令〔2012〕第44号、〔2013〕63号、〔2015〕第80号修正，自2005年2月1日起施行）</w:t>
      </w:r>
    </w:p>
    <w:p w14:paraId="377C0F6B">
      <w:pPr>
        <w:rPr>
          <w:rFonts w:hint="default"/>
          <w:color w:val="auto"/>
          <w:lang w:val="en-US" w:eastAsia="zh-CN"/>
        </w:rPr>
      </w:pPr>
      <w:r>
        <w:rPr>
          <w:rFonts w:hint="default"/>
          <w:color w:val="auto"/>
          <w:lang w:val="en-US" w:eastAsia="zh-CN"/>
        </w:rPr>
        <w:t>《生产经营单位安全培训规定（2015年修正）》（国家安监总局令</w:t>
      </w:r>
      <w:r>
        <w:rPr>
          <w:rFonts w:hint="eastAsia"/>
          <w:color w:val="auto"/>
          <w:lang w:val="en-US" w:eastAsia="zh-CN"/>
        </w:rPr>
        <w:t>〔</w:t>
      </w:r>
      <w:r>
        <w:rPr>
          <w:rFonts w:hint="default"/>
          <w:color w:val="auto"/>
          <w:lang w:val="en-US" w:eastAsia="zh-CN"/>
        </w:rPr>
        <w:t>2006</w:t>
      </w:r>
      <w:r>
        <w:rPr>
          <w:rFonts w:hint="eastAsia"/>
          <w:color w:val="auto"/>
          <w:lang w:val="en-US" w:eastAsia="zh-CN"/>
        </w:rPr>
        <w:t>〕</w:t>
      </w:r>
      <w:r>
        <w:rPr>
          <w:rFonts w:hint="default"/>
          <w:color w:val="auto"/>
          <w:lang w:val="en-US" w:eastAsia="zh-CN"/>
        </w:rPr>
        <w:t>第3号公布，经国家安监总局令</w:t>
      </w:r>
      <w:r>
        <w:rPr>
          <w:rFonts w:hint="eastAsia"/>
          <w:color w:val="auto"/>
          <w:lang w:val="en-US" w:eastAsia="zh-CN"/>
        </w:rPr>
        <w:t>〔</w:t>
      </w:r>
      <w:r>
        <w:rPr>
          <w:rFonts w:hint="default"/>
          <w:color w:val="auto"/>
          <w:lang w:val="en-US" w:eastAsia="zh-CN"/>
        </w:rPr>
        <w:t>2013</w:t>
      </w:r>
      <w:r>
        <w:rPr>
          <w:rFonts w:hint="eastAsia"/>
          <w:color w:val="auto"/>
          <w:lang w:val="en-US" w:eastAsia="zh-CN"/>
        </w:rPr>
        <w:t>〕</w:t>
      </w:r>
      <w:r>
        <w:rPr>
          <w:rFonts w:hint="default"/>
          <w:color w:val="auto"/>
          <w:lang w:val="en-US" w:eastAsia="zh-CN"/>
        </w:rPr>
        <w:t>63号、</w:t>
      </w:r>
      <w:r>
        <w:rPr>
          <w:rFonts w:hint="eastAsia"/>
          <w:color w:val="auto"/>
          <w:lang w:val="en-US" w:eastAsia="zh-CN"/>
        </w:rPr>
        <w:t>〔</w:t>
      </w:r>
      <w:r>
        <w:rPr>
          <w:rFonts w:hint="default"/>
          <w:color w:val="auto"/>
          <w:lang w:val="en-US" w:eastAsia="zh-CN"/>
        </w:rPr>
        <w:t>2015</w:t>
      </w:r>
      <w:r>
        <w:rPr>
          <w:rFonts w:hint="eastAsia"/>
          <w:color w:val="auto"/>
          <w:lang w:val="en-US" w:eastAsia="zh-CN"/>
        </w:rPr>
        <w:t>〕</w:t>
      </w:r>
      <w:r>
        <w:rPr>
          <w:rFonts w:hint="default"/>
          <w:color w:val="auto"/>
          <w:lang w:val="en-US" w:eastAsia="zh-CN"/>
        </w:rPr>
        <w:t>80号修正，自2006年3月1日起施行）</w:t>
      </w:r>
    </w:p>
    <w:p w14:paraId="22B1CC5B">
      <w:pPr>
        <w:rPr>
          <w:rFonts w:hint="default"/>
          <w:color w:val="auto"/>
          <w:lang w:val="en-US" w:eastAsia="zh-CN"/>
        </w:rPr>
      </w:pPr>
      <w:r>
        <w:rPr>
          <w:rFonts w:hint="default"/>
          <w:color w:val="auto"/>
          <w:lang w:val="en-US" w:eastAsia="zh-CN"/>
        </w:rPr>
        <w:t>《特种作业人员安全技术培训考核管理规定（2015年修正）》（国家安监总局令〔2010〕第30号发布，经国家安监总局令〔2013〕第63号、〔2015〕第80号修正，自2010年7月1日起施行）</w:t>
      </w:r>
    </w:p>
    <w:p w14:paraId="6EF11C24">
      <w:pPr>
        <w:rPr>
          <w:rFonts w:hint="default"/>
          <w:color w:val="auto"/>
          <w:lang w:val="en-US" w:eastAsia="zh-CN"/>
        </w:rPr>
      </w:pPr>
      <w:r>
        <w:rPr>
          <w:rFonts w:hint="default"/>
          <w:color w:val="auto"/>
          <w:lang w:val="en-US" w:eastAsia="zh-CN"/>
        </w:rPr>
        <w:t>《国务院安委会办公室关于实施遏制重特大事故工作指南构建双重预防机制的意见》（安委办〔2016〕11号，2016年10月9日）</w:t>
      </w:r>
    </w:p>
    <w:p w14:paraId="3CFDE04D">
      <w:pPr>
        <w:rPr>
          <w:rFonts w:hint="default"/>
          <w:color w:val="auto"/>
          <w:lang w:val="en-US" w:eastAsia="zh-CN"/>
        </w:rPr>
      </w:pPr>
      <w:r>
        <w:rPr>
          <w:rFonts w:hint="default"/>
          <w:color w:val="auto"/>
          <w:lang w:val="en-US" w:eastAsia="zh-CN"/>
        </w:rPr>
        <w:t>《国家安全监管总局办公厅关于修改用人单位劳动防护用品管理规范的通知》（安监总厅安健〔2018〕3号，2018年1月15日）</w:t>
      </w:r>
    </w:p>
    <w:p w14:paraId="1F9DEF0F">
      <w:pPr>
        <w:rPr>
          <w:rFonts w:hint="default"/>
          <w:color w:val="auto"/>
          <w:lang w:val="en-US" w:eastAsia="zh-CN"/>
        </w:rPr>
      </w:pPr>
      <w:r>
        <w:rPr>
          <w:rFonts w:hint="default"/>
          <w:color w:val="auto"/>
          <w:lang w:val="en-US" w:eastAsia="zh-CN"/>
        </w:rPr>
        <w:t>《生产安全事故应急预案管理办法》（国家安监总局令〔2009〕第17号发布，经国家安监总局令〔2016〕第88号、应急管理部令〔2019〕第2号修正，自2009年5月1日起施行）</w:t>
      </w:r>
    </w:p>
    <w:p w14:paraId="399FFF80">
      <w:pPr>
        <w:rPr>
          <w:rFonts w:hint="default"/>
          <w:color w:val="auto"/>
          <w:lang w:val="en-US" w:eastAsia="zh-CN"/>
        </w:rPr>
      </w:pPr>
      <w:r>
        <w:rPr>
          <w:rFonts w:hint="default"/>
          <w:color w:val="auto"/>
          <w:lang w:val="en-US" w:eastAsia="zh-CN"/>
        </w:rPr>
        <w:t>《工作场所职业卫生管理规定》（国家卫健委令</w:t>
      </w:r>
      <w:r>
        <w:rPr>
          <w:rFonts w:hint="eastAsia" w:ascii="Times New Roman" w:eastAsia="宋体"/>
          <w:color w:val="auto"/>
          <w:lang w:val="en-US" w:eastAsia="zh-CN"/>
        </w:rPr>
        <w:t>〔</w:t>
      </w:r>
      <w:r>
        <w:rPr>
          <w:rFonts w:hint="default"/>
          <w:color w:val="auto"/>
          <w:lang w:val="en-US" w:eastAsia="zh-CN"/>
        </w:rPr>
        <w:t>2020</w:t>
      </w:r>
      <w:r>
        <w:rPr>
          <w:rFonts w:hint="eastAsia" w:ascii="Times New Roman" w:eastAsia="宋体"/>
          <w:color w:val="auto"/>
          <w:lang w:val="en-US" w:eastAsia="zh-CN"/>
        </w:rPr>
        <w:t>〕</w:t>
      </w:r>
      <w:r>
        <w:rPr>
          <w:rFonts w:hint="default"/>
          <w:color w:val="auto"/>
          <w:lang w:val="en-US" w:eastAsia="zh-CN"/>
        </w:rPr>
        <w:t>第5号，自2021年2月1日起施行）</w:t>
      </w:r>
    </w:p>
    <w:p w14:paraId="1FA186BE">
      <w:pPr>
        <w:rPr>
          <w:rFonts w:hint="default"/>
          <w:color w:val="auto"/>
          <w:lang w:val="en-US" w:eastAsia="zh-CN"/>
        </w:rPr>
      </w:pPr>
      <w:r>
        <w:rPr>
          <w:rFonts w:hint="default"/>
          <w:color w:val="auto"/>
          <w:lang w:val="en-US" w:eastAsia="zh-CN"/>
        </w:rPr>
        <w:t>《国务院安委会办公室关于加强矿山安全生产工作的紧急通知》（安委办〔2021〕3号，2021年2月24日）</w:t>
      </w:r>
    </w:p>
    <w:p w14:paraId="7F4F51E8">
      <w:pPr>
        <w:rPr>
          <w:rFonts w:hint="default"/>
          <w:color w:val="auto"/>
          <w:lang w:val="en-US" w:eastAsia="zh-CN"/>
        </w:rPr>
      </w:pPr>
      <w:r>
        <w:rPr>
          <w:rFonts w:hint="default"/>
          <w:color w:val="auto"/>
          <w:lang w:val="en-US" w:eastAsia="zh-CN"/>
        </w:rPr>
        <w:t>《国家矿山安全监察局关于印发〈关于加强非煤矿山安全生产工作的指导意见〉的通知》（矿安〔2022〕4号，2022年2月8日）</w:t>
      </w:r>
    </w:p>
    <w:p w14:paraId="722BF4D9">
      <w:pPr>
        <w:rPr>
          <w:rFonts w:hint="default"/>
          <w:color w:val="auto"/>
          <w:lang w:val="en-US" w:eastAsia="zh-CN"/>
        </w:rPr>
      </w:pPr>
      <w:r>
        <w:rPr>
          <w:rFonts w:hint="default"/>
          <w:color w:val="auto"/>
          <w:lang w:val="en-US" w:eastAsia="zh-CN"/>
        </w:rPr>
        <w:t>《国家矿山安全监察局关于印发〈金属非金属矿山重大事故隐患判定标准〉的通知》（矿安〔2022〕88号，2022年7月8日）</w:t>
      </w:r>
    </w:p>
    <w:p w14:paraId="4F13BC11">
      <w:pPr>
        <w:rPr>
          <w:rFonts w:hint="default"/>
          <w:color w:val="auto"/>
          <w:lang w:val="en-US" w:eastAsia="zh-CN"/>
        </w:rPr>
      </w:pPr>
      <w:r>
        <w:rPr>
          <w:rFonts w:hint="default"/>
          <w:color w:val="auto"/>
          <w:lang w:val="en-US" w:eastAsia="zh-CN"/>
        </w:rPr>
        <w:t>《财政部 应急部关于印发〈企业安全生产费用提取和使用管理办法〉的通知》（财资〔2022〕136号，2022年11月21日）</w:t>
      </w:r>
    </w:p>
    <w:p w14:paraId="04C58B63">
      <w:pPr>
        <w:rPr>
          <w:rFonts w:hint="default"/>
          <w:color w:val="auto"/>
          <w:lang w:val="en-US" w:eastAsia="zh-CN"/>
        </w:rPr>
      </w:pPr>
      <w:r>
        <w:rPr>
          <w:rFonts w:hint="default"/>
          <w:color w:val="auto"/>
          <w:lang w:val="en-US" w:eastAsia="zh-CN"/>
        </w:rPr>
        <w:t>《国家矿山安全监察局关于印发〈执行安全标志管理的矿用产品目录〉的通知》（矿安〔2022〕123号，2022年12月10日）</w:t>
      </w:r>
    </w:p>
    <w:p w14:paraId="740EAE49">
      <w:pPr>
        <w:rPr>
          <w:rFonts w:hint="default"/>
          <w:color w:val="auto"/>
          <w:lang w:val="en-US" w:eastAsia="zh-CN"/>
        </w:rPr>
      </w:pPr>
      <w:r>
        <w:rPr>
          <w:rFonts w:hint="default"/>
          <w:color w:val="auto"/>
          <w:lang w:val="en-US" w:eastAsia="zh-CN"/>
        </w:rPr>
        <w:t>《国家矿山安全监察局关于印发〈矿山生产安全事故报告和调查处理办法〉的通知》（矿安〔2023〕7号，2023年1月17日）</w:t>
      </w:r>
    </w:p>
    <w:p w14:paraId="38FD0D43">
      <w:pPr>
        <w:rPr>
          <w:rFonts w:hint="default"/>
          <w:color w:val="auto"/>
          <w:lang w:val="en-US" w:eastAsia="zh-CN"/>
        </w:rPr>
      </w:pPr>
      <w:r>
        <w:rPr>
          <w:rFonts w:hint="eastAsia"/>
          <w:color w:val="auto"/>
          <w:lang w:val="en-US" w:eastAsia="zh-CN"/>
        </w:rPr>
        <w:t>《国家矿山安全监察局关于做好非煤矿山灾害情况发生重大变化及时报告和出现事故征兆等紧急情况及时撤人工作的通知》（</w:t>
      </w:r>
      <w:r>
        <w:rPr>
          <w:rFonts w:hint="default"/>
          <w:color w:val="auto"/>
          <w:lang w:val="en-US" w:eastAsia="zh-CN"/>
        </w:rPr>
        <w:t>矿安〔2023〕</w:t>
      </w:r>
      <w:r>
        <w:rPr>
          <w:rFonts w:hint="eastAsia"/>
          <w:color w:val="auto"/>
          <w:lang w:val="en-US" w:eastAsia="zh-CN"/>
        </w:rPr>
        <w:t>60</w:t>
      </w:r>
      <w:r>
        <w:rPr>
          <w:rFonts w:hint="default"/>
          <w:color w:val="auto"/>
          <w:lang w:val="en-US" w:eastAsia="zh-CN"/>
        </w:rPr>
        <w:t>号，2023年</w:t>
      </w:r>
      <w:r>
        <w:rPr>
          <w:rFonts w:hint="eastAsia"/>
          <w:color w:val="auto"/>
          <w:lang w:val="en-US" w:eastAsia="zh-CN"/>
        </w:rPr>
        <w:t>6</w:t>
      </w:r>
      <w:r>
        <w:rPr>
          <w:rFonts w:hint="default"/>
          <w:color w:val="auto"/>
          <w:lang w:val="en-US" w:eastAsia="zh-CN"/>
        </w:rPr>
        <w:t>月</w:t>
      </w:r>
      <w:r>
        <w:rPr>
          <w:rFonts w:hint="eastAsia"/>
          <w:color w:val="auto"/>
          <w:lang w:val="en-US" w:eastAsia="zh-CN"/>
        </w:rPr>
        <w:t>21</w:t>
      </w:r>
      <w:r>
        <w:rPr>
          <w:rFonts w:hint="default"/>
          <w:color w:val="auto"/>
          <w:lang w:val="en-US" w:eastAsia="zh-CN"/>
        </w:rPr>
        <w:t>日</w:t>
      </w:r>
      <w:r>
        <w:rPr>
          <w:rFonts w:hint="eastAsia"/>
          <w:color w:val="auto"/>
          <w:lang w:val="en-US" w:eastAsia="zh-CN"/>
        </w:rPr>
        <w:t>）</w:t>
      </w:r>
    </w:p>
    <w:p w14:paraId="7A54FA13">
      <w:pPr>
        <w:rPr>
          <w:rFonts w:hint="default"/>
          <w:color w:val="auto"/>
          <w:lang w:val="en-US" w:eastAsia="zh-CN"/>
        </w:rPr>
      </w:pPr>
      <w:r>
        <w:rPr>
          <w:rFonts w:hint="eastAsia"/>
          <w:color w:val="auto"/>
          <w:lang w:val="en-US" w:eastAsia="zh-CN"/>
        </w:rPr>
        <w:t>《国家矿山安全监察局关于开展露天矿山边坡监测系统建设及联网工作的通知》（</w:t>
      </w:r>
      <w:r>
        <w:rPr>
          <w:rFonts w:hint="default"/>
          <w:color w:val="auto"/>
          <w:lang w:val="en-US" w:eastAsia="zh-CN"/>
        </w:rPr>
        <w:t>矿安〔2023〕1</w:t>
      </w:r>
      <w:r>
        <w:rPr>
          <w:rFonts w:hint="eastAsia"/>
          <w:color w:val="auto"/>
          <w:lang w:val="en-US" w:eastAsia="zh-CN"/>
        </w:rPr>
        <w:t>19</w:t>
      </w:r>
      <w:r>
        <w:rPr>
          <w:rFonts w:hint="default"/>
          <w:color w:val="auto"/>
          <w:lang w:val="en-US" w:eastAsia="zh-CN"/>
        </w:rPr>
        <w:t>号，2023年</w:t>
      </w:r>
      <w:r>
        <w:rPr>
          <w:rFonts w:hint="eastAsia"/>
          <w:color w:val="auto"/>
          <w:lang w:val="en-US" w:eastAsia="zh-CN"/>
        </w:rPr>
        <w:t>8</w:t>
      </w:r>
      <w:r>
        <w:rPr>
          <w:rFonts w:hint="default"/>
          <w:color w:val="auto"/>
          <w:lang w:val="en-US" w:eastAsia="zh-CN"/>
        </w:rPr>
        <w:t>月</w:t>
      </w:r>
      <w:r>
        <w:rPr>
          <w:rFonts w:hint="eastAsia"/>
          <w:color w:val="auto"/>
          <w:lang w:val="en-US" w:eastAsia="zh-CN"/>
        </w:rPr>
        <w:t>30</w:t>
      </w:r>
      <w:r>
        <w:rPr>
          <w:rFonts w:hint="default"/>
          <w:color w:val="auto"/>
          <w:lang w:val="en-US" w:eastAsia="zh-CN"/>
        </w:rPr>
        <w:t>日</w:t>
      </w:r>
      <w:r>
        <w:rPr>
          <w:rFonts w:hint="eastAsia"/>
          <w:color w:val="auto"/>
          <w:lang w:val="en-US" w:eastAsia="zh-CN"/>
        </w:rPr>
        <w:t>）</w:t>
      </w:r>
    </w:p>
    <w:p w14:paraId="06746873">
      <w:pPr>
        <w:rPr>
          <w:rFonts w:hint="default"/>
          <w:color w:val="auto"/>
          <w:lang w:val="en-US" w:eastAsia="zh-CN"/>
        </w:rPr>
      </w:pPr>
      <w:r>
        <w:rPr>
          <w:rFonts w:hint="default"/>
          <w:color w:val="auto"/>
          <w:lang w:val="en-US" w:eastAsia="zh-CN"/>
        </w:rPr>
        <w:t>《中共中央办公厅</w:t>
      </w:r>
      <w:r>
        <w:rPr>
          <w:rFonts w:hint="eastAsia"/>
          <w:color w:val="auto"/>
          <w:lang w:val="en-US" w:eastAsia="zh-CN"/>
        </w:rPr>
        <w:t xml:space="preserve"> </w:t>
      </w:r>
      <w:r>
        <w:rPr>
          <w:rFonts w:hint="default"/>
          <w:color w:val="auto"/>
          <w:lang w:val="en-US" w:eastAsia="zh-CN"/>
        </w:rPr>
        <w:t>国务院办公厅关于进一步加强矿山安全生产工作的意见》（厅字〔2023〕21号，2023年</w:t>
      </w:r>
      <w:r>
        <w:rPr>
          <w:rFonts w:hint="eastAsia"/>
          <w:color w:val="auto"/>
          <w:lang w:val="en-US" w:eastAsia="zh-CN"/>
        </w:rPr>
        <w:t>9</w:t>
      </w:r>
      <w:r>
        <w:rPr>
          <w:rFonts w:hint="default"/>
          <w:color w:val="auto"/>
          <w:lang w:val="en-US" w:eastAsia="zh-CN"/>
        </w:rPr>
        <w:t>月</w:t>
      </w:r>
      <w:r>
        <w:rPr>
          <w:rFonts w:hint="eastAsia"/>
          <w:color w:val="auto"/>
          <w:lang w:val="en-US" w:eastAsia="zh-CN"/>
        </w:rPr>
        <w:t>6</w:t>
      </w:r>
      <w:r>
        <w:rPr>
          <w:rFonts w:hint="default"/>
          <w:color w:val="auto"/>
          <w:lang w:val="en-US" w:eastAsia="zh-CN"/>
        </w:rPr>
        <w:t>日）</w:t>
      </w:r>
    </w:p>
    <w:p w14:paraId="52FE3881">
      <w:pPr>
        <w:rPr>
          <w:rFonts w:hint="default"/>
          <w:color w:val="auto"/>
          <w:lang w:val="en-US" w:eastAsia="zh-CN"/>
        </w:rPr>
      </w:pPr>
      <w:r>
        <w:rPr>
          <w:rFonts w:hint="default"/>
          <w:color w:val="auto"/>
          <w:lang w:val="en-US" w:eastAsia="zh-CN"/>
        </w:rPr>
        <w:t>《国家矿山安全监察局关于印发〈矿山建设项目安全设施重大变更范围〉的通知》（矿安〔2023〕147号，2023年11月14日）</w:t>
      </w:r>
    </w:p>
    <w:p w14:paraId="6768D8E3">
      <w:pPr>
        <w:rPr>
          <w:rFonts w:hint="default"/>
          <w:color w:val="auto"/>
          <w:lang w:val="en-US" w:eastAsia="zh-CN"/>
        </w:rPr>
      </w:pPr>
      <w:r>
        <w:rPr>
          <w:rFonts w:hint="default"/>
          <w:color w:val="auto"/>
          <w:lang w:val="en-US" w:eastAsia="zh-CN"/>
        </w:rPr>
        <w:t>《国务院安全生产委员会印发〈关于防范遏制矿山领域重特大生产安全事故的硬措施〉的通知》（安委〔2024〕1号，2024年1月19日）</w:t>
      </w:r>
    </w:p>
    <w:p w14:paraId="7B2226A4">
      <w:pPr>
        <w:rPr>
          <w:rFonts w:hint="default"/>
          <w:color w:val="auto"/>
          <w:lang w:val="en-US" w:eastAsia="zh-CN"/>
        </w:rPr>
      </w:pPr>
      <w:r>
        <w:rPr>
          <w:rFonts w:hint="default"/>
          <w:color w:val="auto"/>
          <w:lang w:val="en-US" w:eastAsia="zh-CN"/>
        </w:rPr>
        <w:t>《矿山安全生产治本攻坚三年行动方案（2024-2026年）》（国家矿山安全监察局，2024年2月4日）</w:t>
      </w:r>
    </w:p>
    <w:p w14:paraId="046ACF58">
      <w:pPr>
        <w:rPr>
          <w:rFonts w:hint="default"/>
          <w:color w:val="auto"/>
          <w:lang w:val="en-US" w:eastAsia="zh-CN"/>
        </w:rPr>
      </w:pPr>
      <w:r>
        <w:rPr>
          <w:rFonts w:hint="default"/>
          <w:color w:val="auto"/>
          <w:lang w:val="en-US" w:eastAsia="zh-CN"/>
        </w:rPr>
        <w:t>《矿山救援规程》（应急管理部令</w:t>
      </w:r>
      <w:r>
        <w:rPr>
          <w:rFonts w:hint="eastAsia" w:ascii="Times New Roman" w:eastAsia="宋体"/>
          <w:color w:val="auto"/>
          <w:lang w:val="en-US" w:eastAsia="zh-CN"/>
        </w:rPr>
        <w:t>〔</w:t>
      </w:r>
      <w:r>
        <w:rPr>
          <w:rFonts w:hint="default"/>
          <w:color w:val="auto"/>
          <w:lang w:val="en-US" w:eastAsia="zh-CN"/>
        </w:rPr>
        <w:t>2024</w:t>
      </w:r>
      <w:r>
        <w:rPr>
          <w:rFonts w:hint="eastAsia" w:ascii="Times New Roman" w:eastAsia="宋体"/>
          <w:color w:val="auto"/>
          <w:lang w:val="en-US" w:eastAsia="zh-CN"/>
        </w:rPr>
        <w:t>〕</w:t>
      </w:r>
      <w:r>
        <w:rPr>
          <w:rFonts w:hint="default"/>
          <w:color w:val="auto"/>
          <w:lang w:val="en-US" w:eastAsia="zh-CN"/>
        </w:rPr>
        <w:t>第16号，2024年4月28日）</w:t>
      </w:r>
    </w:p>
    <w:p w14:paraId="1E450FF1">
      <w:pPr>
        <w:rPr>
          <w:rFonts w:hint="default"/>
          <w:color w:val="auto"/>
          <w:lang w:val="en-US" w:eastAsia="zh-CN"/>
        </w:rPr>
      </w:pPr>
      <w:r>
        <w:rPr>
          <w:rFonts w:hint="default"/>
          <w:color w:val="auto"/>
          <w:lang w:val="en-US" w:eastAsia="zh-CN"/>
        </w:rPr>
        <w:t>《国家矿山安全监察局关于印发〈金属非金属矿山重大事故隐患判定标准补充情形〉的通知》（矿安〔2024〕41号，2024年4月23日）</w:t>
      </w:r>
    </w:p>
    <w:p w14:paraId="70B7E5B9">
      <w:pPr>
        <w:rPr>
          <w:rFonts w:hint="default"/>
          <w:color w:val="auto"/>
          <w:lang w:val="en-US" w:eastAsia="zh-CN"/>
        </w:rPr>
      </w:pPr>
      <w:r>
        <w:rPr>
          <w:rFonts w:hint="default"/>
          <w:color w:val="auto"/>
          <w:lang w:val="en-US" w:eastAsia="zh-CN"/>
        </w:rPr>
        <w:t>《国家矿山安全监察局关于进一步加强非煤矿山安全生产行政许可工作的通知》（矿安〔2024〕70号，2024年6月28日）</w:t>
      </w:r>
    </w:p>
    <w:p w14:paraId="115739A0">
      <w:pPr>
        <w:rPr>
          <w:rFonts w:hint="default"/>
          <w:color w:val="auto"/>
          <w:lang w:val="en-US" w:eastAsia="zh-CN"/>
        </w:rPr>
      </w:pPr>
      <w:r>
        <w:rPr>
          <w:rFonts w:hint="default"/>
          <w:color w:val="auto"/>
          <w:lang w:val="en-US" w:eastAsia="zh-CN"/>
        </w:rPr>
        <w:t>《国家矿山安全监察局关于加强汛期矿山安全防范工作的通知》（矿安〔2024〕75号，2024年7月16日）</w:t>
      </w:r>
    </w:p>
    <w:p w14:paraId="144FB9AB">
      <w:pPr>
        <w:rPr>
          <w:rFonts w:hint="default"/>
          <w:color w:val="auto"/>
          <w:lang w:val="en-US" w:eastAsia="zh-CN"/>
        </w:rPr>
      </w:pPr>
      <w:r>
        <w:rPr>
          <w:rFonts w:hint="default"/>
          <w:color w:val="auto"/>
          <w:lang w:val="en-US" w:eastAsia="zh-CN"/>
        </w:rPr>
        <w:t>《国家矿山安全监察局综合司关于进一步加强矿山隐蔽致灾因素普查工作的通知》（矿安综函〔2024〕259号，2024年10月23日）</w:t>
      </w:r>
    </w:p>
    <w:p w14:paraId="18F00ABF">
      <w:pPr>
        <w:rPr>
          <w:rFonts w:hint="eastAsia"/>
          <w:color w:val="auto"/>
          <w:lang w:val="en-US" w:eastAsia="zh-CN"/>
        </w:rPr>
      </w:pPr>
      <w:r>
        <w:rPr>
          <w:rFonts w:hint="eastAsia"/>
          <w:color w:val="auto"/>
          <w:lang w:val="en-US" w:eastAsia="zh-CN"/>
        </w:rPr>
        <w:t>《</w:t>
      </w:r>
      <w:r>
        <w:rPr>
          <w:rFonts w:hint="default"/>
          <w:color w:val="auto"/>
          <w:lang w:val="en-US" w:eastAsia="zh-CN"/>
        </w:rPr>
        <w:t>关于印发</w:t>
      </w:r>
      <w:r>
        <w:rPr>
          <w:rFonts w:hint="eastAsia" w:ascii="宋体" w:hAnsi="宋体" w:eastAsia="宋体" w:cs="宋体"/>
          <w:color w:val="auto"/>
          <w:lang w:val="en-US" w:eastAsia="zh-CN"/>
        </w:rPr>
        <w:t>&lt;</w:t>
      </w:r>
      <w:r>
        <w:rPr>
          <w:rFonts w:hint="default"/>
          <w:color w:val="auto"/>
          <w:lang w:val="en-US" w:eastAsia="zh-CN"/>
        </w:rPr>
        <w:t>安全生产责任保险实施办法</w:t>
      </w:r>
      <w:r>
        <w:rPr>
          <w:rFonts w:hint="eastAsia" w:ascii="宋体" w:hAnsi="宋体" w:eastAsia="宋体" w:cs="宋体"/>
          <w:color w:val="auto"/>
          <w:lang w:val="en-US" w:eastAsia="zh-CN"/>
        </w:rPr>
        <w:t>&gt;</w:t>
      </w:r>
      <w:r>
        <w:rPr>
          <w:rFonts w:hint="default"/>
          <w:color w:val="auto"/>
          <w:lang w:val="en-US" w:eastAsia="zh-CN"/>
        </w:rPr>
        <w:t>的通知》</w:t>
      </w:r>
      <w:r>
        <w:rPr>
          <w:rFonts w:hint="eastAsia"/>
          <w:color w:val="auto"/>
          <w:lang w:val="en-US" w:eastAsia="zh-CN"/>
        </w:rPr>
        <w:t>（</w:t>
      </w:r>
      <w:r>
        <w:rPr>
          <w:rFonts w:hint="default"/>
          <w:color w:val="auto"/>
          <w:lang w:val="en-US" w:eastAsia="zh-CN"/>
        </w:rPr>
        <w:t>应急〔2025〕27号</w:t>
      </w:r>
      <w:r>
        <w:rPr>
          <w:rFonts w:hint="eastAsia"/>
          <w:color w:val="auto"/>
          <w:lang w:val="en-US" w:eastAsia="zh-CN"/>
        </w:rPr>
        <w:t>，2025年3月29日）</w:t>
      </w:r>
    </w:p>
    <w:p w14:paraId="5444F970">
      <w:pPr>
        <w:rPr>
          <w:rFonts w:hint="eastAsia"/>
          <w:color w:val="auto"/>
          <w:lang w:val="en-US" w:eastAsia="zh-CN"/>
        </w:rPr>
      </w:pPr>
      <w:r>
        <w:rPr>
          <w:rFonts w:hint="eastAsia"/>
          <w:color w:val="auto"/>
          <w:lang w:val="en-US" w:eastAsia="zh-CN"/>
        </w:rPr>
        <w:t>《国家矿山安全监察局综合司关于明确矿山“五职”矿长和“五科”相关人员范围及相关要求的通知》（矿安综</w:t>
      </w:r>
      <w:r>
        <w:rPr>
          <w:rFonts w:hint="default"/>
          <w:color w:val="auto"/>
          <w:lang w:val="en-US" w:eastAsia="zh-CN"/>
        </w:rPr>
        <w:t>〔2025〕</w:t>
      </w:r>
      <w:r>
        <w:rPr>
          <w:rFonts w:hint="eastAsia"/>
          <w:color w:val="auto"/>
          <w:lang w:val="en-US" w:eastAsia="zh-CN"/>
        </w:rPr>
        <w:t>12号，2025年7月1日）</w:t>
      </w:r>
    </w:p>
    <w:p w14:paraId="0B20633E">
      <w:pPr>
        <w:rPr>
          <w:rFonts w:hint="default"/>
          <w:color w:val="auto"/>
          <w:lang w:val="en-US" w:eastAsia="zh-CN"/>
        </w:rPr>
      </w:pPr>
      <w:r>
        <w:rPr>
          <w:rFonts w:hint="default"/>
          <w:color w:val="auto"/>
          <w:lang w:val="en-US" w:eastAsia="zh-CN"/>
        </w:rPr>
        <w:t>《江西省人民政府关于进一步加强企业安全生产工作的实施意见》（赣府发〔2010〕32号）</w:t>
      </w:r>
    </w:p>
    <w:p w14:paraId="2B0235A4">
      <w:pPr>
        <w:bidi w:val="0"/>
        <w:ind w:firstLine="480"/>
        <w:rPr>
          <w:rFonts w:hint="eastAsia" w:eastAsia="宋体"/>
          <w:color w:val="auto"/>
          <w:lang w:val="en-US" w:eastAsia="zh-CN"/>
        </w:rPr>
      </w:pPr>
      <w:r>
        <w:rPr>
          <w:rFonts w:hint="default" w:eastAsia="宋体"/>
          <w:color w:val="auto"/>
        </w:rPr>
        <w:t>《江西省非煤矿山企业安全生产许可证实施办法》（江西省人民政府令第189号，2011年3月1日修改生效）</w:t>
      </w:r>
    </w:p>
    <w:p w14:paraId="622EB8EC">
      <w:pPr>
        <w:rPr>
          <w:rFonts w:hint="default"/>
          <w:color w:val="auto"/>
          <w:lang w:val="en-US" w:eastAsia="zh-CN"/>
        </w:rPr>
      </w:pPr>
      <w:r>
        <w:rPr>
          <w:rFonts w:hint="default"/>
          <w:color w:val="auto"/>
          <w:lang w:val="en-US" w:eastAsia="zh-CN"/>
        </w:rPr>
        <w:t>《江西省安委会关于加强生产经营单位事故隐患排查治理工作的指导意见》（赣安〔2014〕32号，2014年12月18日）</w:t>
      </w:r>
    </w:p>
    <w:p w14:paraId="1CEAFD5D">
      <w:pPr>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《江西省安监局关于印发江西省非煤矿山领域防范遏制重特大事故工作方案的通知》（赣安监管一字〔2016〕70号，2016年7月7日）</w:t>
      </w:r>
    </w:p>
    <w:p w14:paraId="741DC5A8">
      <w:pPr>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《江西省安全生产委员会关于在全省高危行业领域实施安全生产责任保险制度的指导意见》（赣安〔2017〕22号，2017年10月26日）</w:t>
      </w:r>
    </w:p>
    <w:p w14:paraId="3E86EFB5">
      <w:pPr>
        <w:rPr>
          <w:rFonts w:hint="default"/>
          <w:color w:val="auto"/>
          <w:lang w:val="en-US" w:eastAsia="zh-CN"/>
        </w:rPr>
      </w:pPr>
      <w:r>
        <w:rPr>
          <w:rFonts w:hint="default"/>
          <w:color w:val="auto"/>
          <w:lang w:val="en-US" w:eastAsia="zh-CN"/>
        </w:rPr>
        <w:t>《江西省安全生产培训考核实施细则（暂行）》（赣应急字〔2021〕108号，2021年7月1日）</w:t>
      </w:r>
    </w:p>
    <w:p w14:paraId="570F47A1">
      <w:pPr>
        <w:bidi w:val="0"/>
        <w:rPr>
          <w:rFonts w:hint="eastAsia"/>
          <w:color w:val="auto"/>
          <w:lang w:val="en-US" w:eastAsia="zh-CN"/>
        </w:rPr>
      </w:pPr>
      <w:r>
        <w:rPr>
          <w:rFonts w:hint="default"/>
          <w:color w:val="auto"/>
        </w:rPr>
        <w:t>《江西省生产安全事故隐患排查治理办法》（江西省人民政府令第238号，</w:t>
      </w:r>
      <w:r>
        <w:rPr>
          <w:rFonts w:hint="default" w:ascii="Times New Roman" w:hAnsi="Times New Roman" w:eastAsia="宋体" w:cs="Times New Roman"/>
          <w:color w:val="auto"/>
        </w:rPr>
        <w:t>2021年6月9日省人民政府令第250号第一次修正</w:t>
      </w:r>
      <w:r>
        <w:rPr>
          <w:rFonts w:hint="default"/>
          <w:color w:val="auto"/>
        </w:rPr>
        <w:t>）</w:t>
      </w:r>
    </w:p>
    <w:p w14:paraId="112B1072">
      <w:pP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《江西省应急管理厅关于做好〈中共中央办公厅 国务院办公厅关于进步加强矿山安全生产工作的意见〉学习宣传贯彻工作的通知》（赣应急字〔2023〕16号，2023年11月17日）</w:t>
      </w:r>
    </w:p>
    <w:p w14:paraId="00F08A0E">
      <w:pPr>
        <w:pStyle w:val="4"/>
        <w:bidi w:val="0"/>
        <w:rPr>
          <w:rFonts w:hint="default"/>
          <w:color w:val="auto"/>
          <w:lang w:val="en-US" w:eastAsia="zh-CN"/>
        </w:rPr>
      </w:pPr>
      <w:bookmarkStart w:id="44" w:name="_Toc16037"/>
      <w:bookmarkStart w:id="45" w:name="_Toc21706"/>
      <w:bookmarkStart w:id="46" w:name="_Toc3129"/>
      <w:r>
        <w:rPr>
          <w:rFonts w:hint="default"/>
          <w:color w:val="auto"/>
          <w:lang w:val="en-US" w:eastAsia="zh-CN"/>
        </w:rPr>
        <w:t>1.3.3 标准、规范</w:t>
      </w:r>
      <w:bookmarkEnd w:id="44"/>
      <w:bookmarkEnd w:id="45"/>
      <w:bookmarkEnd w:id="46"/>
    </w:p>
    <w:p w14:paraId="05B2F8AD">
      <w:pPr>
        <w:rPr>
          <w:rFonts w:hint="default"/>
          <w:color w:val="auto"/>
          <w:lang w:val="en-US" w:eastAsia="zh-CN"/>
        </w:rPr>
      </w:pPr>
      <w:r>
        <w:rPr>
          <w:rFonts w:hint="default"/>
          <w:color w:val="auto"/>
          <w:lang w:val="en-US" w:eastAsia="zh-CN"/>
        </w:rPr>
        <w:t>《企业职工伤亡事故分类》</w:t>
      </w:r>
      <w:r>
        <w:rPr>
          <w:rFonts w:hint="eastAsia"/>
          <w:color w:val="auto"/>
          <w:lang w:val="en-US" w:eastAsia="zh-CN"/>
        </w:rPr>
        <w:t xml:space="preserve">                          </w:t>
      </w:r>
      <w:r>
        <w:rPr>
          <w:rFonts w:hint="default"/>
          <w:color w:val="auto"/>
          <w:lang w:val="en-US" w:eastAsia="zh-CN"/>
        </w:rPr>
        <w:t>GB6441-1986</w:t>
      </w:r>
    </w:p>
    <w:p w14:paraId="545FB67F">
      <w:pPr>
        <w:rPr>
          <w:rFonts w:hint="default"/>
          <w:color w:val="auto"/>
          <w:lang w:val="en-US" w:eastAsia="zh-CN"/>
        </w:rPr>
      </w:pPr>
      <w:r>
        <w:rPr>
          <w:rFonts w:hint="default"/>
          <w:color w:val="auto"/>
          <w:lang w:val="en-US" w:eastAsia="zh-CN"/>
        </w:rPr>
        <w:t>《消防安全标志设置要求》</w:t>
      </w:r>
      <w:r>
        <w:rPr>
          <w:rFonts w:hint="eastAsia"/>
          <w:color w:val="auto"/>
          <w:lang w:val="en-US" w:eastAsia="zh-CN"/>
        </w:rPr>
        <w:t xml:space="preserve">                         </w:t>
      </w:r>
      <w:r>
        <w:rPr>
          <w:rFonts w:hint="default"/>
          <w:color w:val="auto"/>
          <w:lang w:val="en-US" w:eastAsia="zh-CN"/>
        </w:rPr>
        <w:t>GB15630-1995</w:t>
      </w:r>
    </w:p>
    <w:p w14:paraId="1487118E">
      <w:pPr>
        <w:rPr>
          <w:rFonts w:hint="default"/>
          <w:color w:val="auto"/>
          <w:lang w:val="en-US" w:eastAsia="zh-CN"/>
        </w:rPr>
      </w:pPr>
      <w:r>
        <w:rPr>
          <w:rFonts w:hint="default"/>
          <w:color w:val="auto"/>
          <w:lang w:val="en-US" w:eastAsia="zh-CN"/>
        </w:rPr>
        <w:t>《建筑灭火器配置设计规范》</w:t>
      </w:r>
      <w:r>
        <w:rPr>
          <w:rFonts w:hint="eastAsia"/>
          <w:color w:val="auto"/>
          <w:lang w:val="en-US" w:eastAsia="zh-CN"/>
        </w:rPr>
        <w:t xml:space="preserve">                       </w:t>
      </w:r>
      <w:r>
        <w:rPr>
          <w:rFonts w:hint="default"/>
          <w:color w:val="auto"/>
          <w:lang w:val="en-US" w:eastAsia="zh-CN"/>
        </w:rPr>
        <w:t>GB50140-2005</w:t>
      </w:r>
    </w:p>
    <w:p w14:paraId="13CA27BA">
      <w:pPr>
        <w:rPr>
          <w:rFonts w:hint="default"/>
          <w:color w:val="auto"/>
          <w:lang w:val="en-US" w:eastAsia="zh-CN"/>
        </w:rPr>
      </w:pPr>
      <w:r>
        <w:rPr>
          <w:rFonts w:hint="default"/>
          <w:color w:val="auto"/>
          <w:lang w:val="en-US" w:eastAsia="zh-CN"/>
        </w:rPr>
        <w:t>《工业企业厂内铁路、道路运输安全规程》</w:t>
      </w:r>
      <w:r>
        <w:rPr>
          <w:rFonts w:hint="eastAsia"/>
          <w:color w:val="auto"/>
          <w:lang w:val="en-US" w:eastAsia="zh-CN"/>
        </w:rPr>
        <w:t xml:space="preserve">             </w:t>
      </w:r>
      <w:r>
        <w:rPr>
          <w:rFonts w:hint="default"/>
          <w:color w:val="auto"/>
          <w:lang w:val="en-US" w:eastAsia="zh-CN"/>
        </w:rPr>
        <w:t>GB4387-2008</w:t>
      </w:r>
    </w:p>
    <w:p w14:paraId="6392B357">
      <w:pPr>
        <w:rPr>
          <w:rFonts w:hint="default"/>
          <w:color w:val="auto"/>
          <w:lang w:val="en-US" w:eastAsia="zh-CN"/>
        </w:rPr>
      </w:pPr>
      <w:r>
        <w:rPr>
          <w:rFonts w:hint="default"/>
          <w:color w:val="auto"/>
          <w:lang w:val="en-US" w:eastAsia="zh-CN"/>
        </w:rPr>
        <w:t>《供配电系统设计规范》</w:t>
      </w:r>
      <w:r>
        <w:rPr>
          <w:rFonts w:hint="eastAsia"/>
          <w:color w:val="auto"/>
          <w:lang w:val="en-US" w:eastAsia="zh-CN"/>
        </w:rPr>
        <w:t xml:space="preserve">                           </w:t>
      </w:r>
      <w:r>
        <w:rPr>
          <w:rFonts w:hint="default"/>
          <w:color w:val="auto"/>
          <w:lang w:val="en-US" w:eastAsia="zh-CN"/>
        </w:rPr>
        <w:t>GB50052-2009</w:t>
      </w:r>
    </w:p>
    <w:p w14:paraId="76E97C21">
      <w:pPr>
        <w:rPr>
          <w:rFonts w:hint="default"/>
          <w:color w:val="auto"/>
          <w:lang w:val="en-US" w:eastAsia="zh-CN"/>
        </w:rPr>
      </w:pPr>
      <w:r>
        <w:rPr>
          <w:rFonts w:hint="default"/>
          <w:color w:val="auto"/>
          <w:lang w:val="en-US" w:eastAsia="zh-CN"/>
        </w:rPr>
        <w:t>《低压配电设计规范》</w:t>
      </w:r>
      <w:r>
        <w:rPr>
          <w:rFonts w:hint="eastAsia"/>
          <w:color w:val="auto"/>
          <w:lang w:val="en-US" w:eastAsia="zh-CN"/>
        </w:rPr>
        <w:t xml:space="preserve">                             </w:t>
      </w:r>
      <w:r>
        <w:rPr>
          <w:rFonts w:hint="default"/>
          <w:color w:val="auto"/>
          <w:lang w:val="en-US" w:eastAsia="zh-CN"/>
        </w:rPr>
        <w:t>GB50054-2011</w:t>
      </w:r>
    </w:p>
    <w:p w14:paraId="371C23C8">
      <w:pPr>
        <w:rPr>
          <w:rFonts w:hint="default"/>
          <w:color w:val="auto"/>
          <w:lang w:val="en-US" w:eastAsia="zh-CN"/>
        </w:rPr>
      </w:pPr>
      <w:r>
        <w:rPr>
          <w:rFonts w:hint="default"/>
          <w:color w:val="auto"/>
          <w:lang w:val="en-US" w:eastAsia="zh-CN"/>
        </w:rPr>
        <w:t>《构筑物抗震设计规范》</w:t>
      </w:r>
      <w:r>
        <w:rPr>
          <w:rFonts w:hint="eastAsia"/>
          <w:color w:val="auto"/>
          <w:lang w:val="en-US" w:eastAsia="zh-CN"/>
        </w:rPr>
        <w:t xml:space="preserve">                           </w:t>
      </w:r>
      <w:r>
        <w:rPr>
          <w:rFonts w:hint="default"/>
          <w:color w:val="auto"/>
          <w:lang w:val="en-US" w:eastAsia="zh-CN"/>
        </w:rPr>
        <w:t>GB50191-2012</w:t>
      </w:r>
    </w:p>
    <w:p w14:paraId="18126928">
      <w:pPr>
        <w:rPr>
          <w:rFonts w:hint="default"/>
          <w:color w:val="auto"/>
          <w:lang w:val="en-US" w:eastAsia="zh-CN"/>
        </w:rPr>
      </w:pPr>
      <w:r>
        <w:rPr>
          <w:rFonts w:hint="default"/>
          <w:color w:val="auto"/>
          <w:lang w:val="en-US" w:eastAsia="zh-CN"/>
        </w:rPr>
        <w:t>《中国地震动参数区划图》</w:t>
      </w:r>
      <w:r>
        <w:rPr>
          <w:rFonts w:hint="eastAsia"/>
          <w:color w:val="auto"/>
          <w:lang w:val="en-US" w:eastAsia="zh-CN"/>
        </w:rPr>
        <w:t xml:space="preserve">                         </w:t>
      </w:r>
      <w:r>
        <w:rPr>
          <w:rFonts w:hint="default"/>
          <w:color w:val="auto"/>
          <w:lang w:val="en-US" w:eastAsia="zh-CN"/>
        </w:rPr>
        <w:t>GB18306-2015</w:t>
      </w:r>
    </w:p>
    <w:p w14:paraId="2C9928A0">
      <w:pPr>
        <w:rPr>
          <w:rFonts w:hint="default"/>
          <w:color w:val="auto"/>
          <w:lang w:val="en-US" w:eastAsia="zh-CN"/>
        </w:rPr>
      </w:pPr>
      <w:r>
        <w:rPr>
          <w:rFonts w:hint="default"/>
          <w:color w:val="auto"/>
          <w:lang w:val="en-US" w:eastAsia="zh-CN"/>
        </w:rPr>
        <w:t>《爆破安全规程》</w:t>
      </w:r>
      <w:r>
        <w:rPr>
          <w:rFonts w:hint="eastAsia"/>
          <w:color w:val="auto"/>
          <w:lang w:val="en-US" w:eastAsia="zh-CN"/>
        </w:rPr>
        <w:t xml:space="preserve">                        </w:t>
      </w:r>
      <w:r>
        <w:rPr>
          <w:rFonts w:hint="default"/>
          <w:color w:val="auto"/>
          <w:lang w:val="en-US" w:eastAsia="zh-CN"/>
        </w:rPr>
        <w:t>GB6722-2014/XG1-2016</w:t>
      </w:r>
    </w:p>
    <w:p w14:paraId="0F45196F">
      <w:pPr>
        <w:rPr>
          <w:rFonts w:hint="default"/>
          <w:color w:val="auto"/>
          <w:lang w:val="en-US" w:eastAsia="zh-CN"/>
        </w:rPr>
      </w:pPr>
      <w:r>
        <w:rPr>
          <w:rFonts w:hint="default"/>
          <w:color w:val="auto"/>
          <w:lang w:val="en-US" w:eastAsia="zh-CN"/>
        </w:rPr>
        <w:t>《危险化学品重大危险源辨识》</w:t>
      </w:r>
      <w:r>
        <w:rPr>
          <w:rFonts w:hint="eastAsia"/>
          <w:color w:val="auto"/>
          <w:lang w:val="en-US" w:eastAsia="zh-CN"/>
        </w:rPr>
        <w:t xml:space="preserve">                     </w:t>
      </w:r>
      <w:r>
        <w:rPr>
          <w:rFonts w:hint="default"/>
          <w:color w:val="auto"/>
          <w:lang w:val="en-US" w:eastAsia="zh-CN"/>
        </w:rPr>
        <w:t>GB18218-2018</w:t>
      </w:r>
    </w:p>
    <w:p w14:paraId="7C70C24D">
      <w:pPr>
        <w:rPr>
          <w:rFonts w:hint="default"/>
          <w:color w:val="auto"/>
          <w:lang w:val="en-US" w:eastAsia="zh-CN"/>
        </w:rPr>
      </w:pPr>
      <w:r>
        <w:rPr>
          <w:rFonts w:hint="default"/>
          <w:color w:val="auto"/>
          <w:lang w:val="en-US" w:eastAsia="zh-CN"/>
        </w:rPr>
        <w:t>《金属非金属矿山安全规程》</w:t>
      </w:r>
      <w:r>
        <w:rPr>
          <w:rFonts w:hint="eastAsia"/>
          <w:color w:val="auto"/>
          <w:lang w:val="en-US" w:eastAsia="zh-CN"/>
        </w:rPr>
        <w:t xml:space="preserve">                       </w:t>
      </w:r>
      <w:r>
        <w:rPr>
          <w:rFonts w:hint="default"/>
          <w:color w:val="auto"/>
          <w:lang w:val="en-US" w:eastAsia="zh-CN"/>
        </w:rPr>
        <w:t>GB16423-2020</w:t>
      </w:r>
    </w:p>
    <w:p w14:paraId="31CF0ADC">
      <w:pPr>
        <w:rPr>
          <w:rFonts w:hint="default"/>
          <w:color w:val="auto"/>
          <w:lang w:val="en-US" w:eastAsia="zh-CN"/>
        </w:rPr>
      </w:pPr>
      <w:r>
        <w:rPr>
          <w:rFonts w:hint="default"/>
          <w:color w:val="auto"/>
          <w:lang w:val="en-US" w:eastAsia="zh-CN"/>
        </w:rPr>
        <w:t>《矿山电力设计标准》</w:t>
      </w:r>
      <w:r>
        <w:rPr>
          <w:rFonts w:hint="eastAsia"/>
          <w:color w:val="auto"/>
          <w:lang w:val="en-US" w:eastAsia="zh-CN"/>
        </w:rPr>
        <w:t xml:space="preserve">                             </w:t>
      </w:r>
      <w:r>
        <w:rPr>
          <w:rFonts w:hint="default"/>
          <w:color w:val="auto"/>
          <w:lang w:val="en-US" w:eastAsia="zh-CN"/>
        </w:rPr>
        <w:t>GB50070-2020</w:t>
      </w:r>
    </w:p>
    <w:p w14:paraId="52F5161E">
      <w:pPr>
        <w:rPr>
          <w:rFonts w:hint="default"/>
          <w:color w:val="auto"/>
          <w:lang w:val="en-US" w:eastAsia="zh-CN"/>
        </w:rPr>
      </w:pPr>
      <w:r>
        <w:rPr>
          <w:rFonts w:hint="default"/>
          <w:color w:val="auto"/>
          <w:lang w:val="en-US" w:eastAsia="zh-CN"/>
        </w:rPr>
        <w:t>《个体防护装备配备规范 第1部分：总则》</w:t>
      </w:r>
      <w:r>
        <w:rPr>
          <w:rFonts w:hint="eastAsia"/>
          <w:color w:val="auto"/>
          <w:lang w:val="en-US" w:eastAsia="zh-CN"/>
        </w:rPr>
        <w:t xml:space="preserve">          </w:t>
      </w:r>
      <w:r>
        <w:rPr>
          <w:rFonts w:hint="default"/>
          <w:color w:val="auto"/>
          <w:lang w:val="en-US" w:eastAsia="zh-CN"/>
        </w:rPr>
        <w:t>GB39800.1-2020</w:t>
      </w:r>
    </w:p>
    <w:p w14:paraId="70180C14">
      <w:pPr>
        <w:rPr>
          <w:rFonts w:hint="default"/>
          <w:color w:val="auto"/>
          <w:lang w:val="en-US" w:eastAsia="zh-CN"/>
        </w:rPr>
      </w:pPr>
      <w:r>
        <w:rPr>
          <w:rFonts w:hint="default"/>
          <w:color w:val="auto"/>
          <w:lang w:val="en-US" w:eastAsia="zh-CN"/>
        </w:rPr>
        <w:t>《个体防护装备配备规范 第4部分：非煤矿山》</w:t>
      </w:r>
      <w:r>
        <w:rPr>
          <w:rFonts w:hint="eastAsia"/>
          <w:color w:val="auto"/>
          <w:lang w:val="en-US" w:eastAsia="zh-CN"/>
        </w:rPr>
        <w:t xml:space="preserve">      </w:t>
      </w:r>
      <w:r>
        <w:rPr>
          <w:rFonts w:hint="default"/>
          <w:color w:val="auto"/>
          <w:lang w:val="en-US" w:eastAsia="zh-CN"/>
        </w:rPr>
        <w:t>GB39800.4-2020</w:t>
      </w:r>
    </w:p>
    <w:p w14:paraId="3AD177A9">
      <w:pPr>
        <w:rPr>
          <w:rFonts w:hint="default"/>
          <w:color w:val="auto"/>
          <w:lang w:val="en-US" w:eastAsia="zh-CN"/>
        </w:rPr>
      </w:pPr>
      <w:r>
        <w:rPr>
          <w:rFonts w:hint="default"/>
          <w:color w:val="auto"/>
          <w:lang w:val="en-US" w:eastAsia="zh-CN"/>
        </w:rPr>
        <w:t>《机械安全 防止上下肢触及危险区的安全距离》</w:t>
      </w:r>
      <w:r>
        <w:rPr>
          <w:rFonts w:hint="eastAsia"/>
          <w:color w:val="auto"/>
          <w:lang w:val="en-US" w:eastAsia="zh-CN"/>
        </w:rPr>
        <w:t xml:space="preserve">      </w:t>
      </w:r>
      <w:r>
        <w:rPr>
          <w:rFonts w:hint="default"/>
          <w:color w:val="auto"/>
          <w:lang w:val="en-US" w:eastAsia="zh-CN"/>
        </w:rPr>
        <w:t>GB23821-2022</w:t>
      </w:r>
    </w:p>
    <w:p w14:paraId="6584081D">
      <w:pPr>
        <w:ind w:left="280" w:leftChars="100" w:firstLine="280" w:firstLineChars="100"/>
        <w:rPr>
          <w:rFonts w:hint="default"/>
          <w:color w:val="auto"/>
          <w:lang w:val="en-US" w:eastAsia="zh-CN"/>
        </w:rPr>
      </w:pPr>
      <w:r>
        <w:rPr>
          <w:rFonts w:hint="default"/>
          <w:color w:val="auto"/>
          <w:lang w:val="en-US" w:eastAsia="zh-CN"/>
        </w:rPr>
        <w:t>《生产设备安全卫生设计总则》</w:t>
      </w:r>
      <w:r>
        <w:rPr>
          <w:rFonts w:hint="eastAsia"/>
          <w:color w:val="auto"/>
          <w:lang w:val="en-US" w:eastAsia="zh-CN"/>
        </w:rPr>
        <w:t xml:space="preserve">                      </w:t>
      </w:r>
      <w:r>
        <w:rPr>
          <w:rFonts w:hint="default"/>
          <w:color w:val="auto"/>
          <w:lang w:val="en-US" w:eastAsia="zh-CN"/>
        </w:rPr>
        <w:t>GB5083-2023</w:t>
      </w:r>
    </w:p>
    <w:p w14:paraId="5F756E87">
      <w:pPr>
        <w:rPr>
          <w:rFonts w:hint="default"/>
          <w:color w:val="auto"/>
          <w:lang w:val="en-US" w:eastAsia="zh-CN"/>
        </w:rPr>
      </w:pPr>
      <w:r>
        <w:rPr>
          <w:rFonts w:hint="default"/>
          <w:color w:val="auto"/>
          <w:lang w:val="en-US" w:eastAsia="zh-CN"/>
        </w:rPr>
        <w:t>《国家电气设备安全技术规范》</w:t>
      </w:r>
      <w:r>
        <w:rPr>
          <w:rFonts w:hint="eastAsia"/>
          <w:color w:val="auto"/>
          <w:lang w:val="en-US" w:eastAsia="zh-CN"/>
        </w:rPr>
        <w:t xml:space="preserve">                     </w:t>
      </w:r>
      <w:r>
        <w:rPr>
          <w:rFonts w:hint="default"/>
          <w:color w:val="auto"/>
          <w:lang w:val="en-US" w:eastAsia="zh-CN"/>
        </w:rPr>
        <w:t>GB19517-</w:t>
      </w:r>
      <w:r>
        <w:rPr>
          <w:rFonts w:hint="eastAsia"/>
          <w:color w:val="auto"/>
          <w:lang w:val="en-US" w:eastAsia="zh-CN"/>
        </w:rPr>
        <w:t>2023</w:t>
      </w:r>
    </w:p>
    <w:p w14:paraId="05694E66">
      <w:pPr>
        <w:pStyle w:val="8"/>
        <w:rPr>
          <w:rFonts w:hint="eastAsia" w:eastAsia="宋体"/>
          <w:color w:val="auto"/>
          <w:lang w:val="en-US" w:eastAsia="zh-CN"/>
        </w:rPr>
      </w:pPr>
      <w:r>
        <w:rPr>
          <w:rFonts w:hint="eastAsia" w:ascii="Times New Roman" w:hAnsi="Times New Roman" w:eastAsia="宋体" w:cs="Times New Roman"/>
          <w:color w:val="auto"/>
          <w:sz w:val="28"/>
          <w:szCs w:val="28"/>
          <w:lang w:eastAsia="zh-CN"/>
        </w:rPr>
        <w:t>《</w:t>
      </w:r>
      <w:r>
        <w:rPr>
          <w:rFonts w:hint="eastAsia" w:ascii="Times New Roman" w:hAnsi="Times New Roman" w:eastAsia="宋体" w:cs="Times New Roman"/>
          <w:color w:val="auto"/>
          <w:sz w:val="28"/>
          <w:szCs w:val="28"/>
        </w:rPr>
        <w:t>安全色</w:t>
      </w:r>
      <w:r>
        <w:rPr>
          <w:rFonts w:hint="eastAsia" w:cs="Times New Roman"/>
          <w:color w:val="auto"/>
          <w:sz w:val="28"/>
          <w:szCs w:val="28"/>
          <w:lang w:val="en-US" w:eastAsia="zh-CN"/>
        </w:rPr>
        <w:t>和</w:t>
      </w:r>
      <w:r>
        <w:rPr>
          <w:rFonts w:hint="eastAsia" w:ascii="Times New Roman" w:hAnsi="Times New Roman" w:eastAsia="宋体" w:cs="Times New Roman"/>
          <w:color w:val="auto"/>
          <w:sz w:val="28"/>
          <w:szCs w:val="28"/>
        </w:rPr>
        <w:t>安全标志</w:t>
      </w:r>
      <w:r>
        <w:rPr>
          <w:rFonts w:hint="eastAsia" w:ascii="Times New Roman" w:hAnsi="Times New Roman" w:eastAsia="宋体" w:cs="Times New Roman"/>
          <w:color w:val="auto"/>
          <w:sz w:val="28"/>
          <w:szCs w:val="28"/>
          <w:lang w:val="en-US" w:eastAsia="zh-CN"/>
        </w:rPr>
        <w:t xml:space="preserve">》                              </w:t>
      </w:r>
      <w:r>
        <w:rPr>
          <w:rFonts w:hint="eastAsia" w:cs="Times New Roman"/>
          <w:color w:val="auto"/>
          <w:sz w:val="28"/>
          <w:szCs w:val="28"/>
          <w:lang w:eastAsia="zh-CN"/>
        </w:rPr>
        <w:t>GB2894-2025</w:t>
      </w:r>
    </w:p>
    <w:p w14:paraId="536A2EBF">
      <w:pPr>
        <w:bidi w:val="0"/>
        <w:rPr>
          <w:rFonts w:hint="default"/>
          <w:color w:val="auto"/>
          <w:lang w:val="en-US" w:eastAsia="zh-CN"/>
        </w:rPr>
      </w:pPr>
      <w:r>
        <w:rPr>
          <w:rFonts w:hint="default"/>
          <w:color w:val="auto"/>
          <w:lang w:val="en-US" w:eastAsia="zh-CN"/>
        </w:rPr>
        <w:t>《机械设备防护罩安全要求》                      GB/T8196-2003</w:t>
      </w:r>
    </w:p>
    <w:p w14:paraId="41478599">
      <w:pPr>
        <w:rPr>
          <w:rFonts w:hint="default"/>
          <w:color w:val="auto"/>
          <w:lang w:val="en-US" w:eastAsia="zh-CN"/>
        </w:rPr>
      </w:pPr>
      <w:r>
        <w:rPr>
          <w:rFonts w:hint="default"/>
          <w:color w:val="auto"/>
          <w:lang w:val="en-US" w:eastAsia="zh-CN"/>
        </w:rPr>
        <w:t>《矿山安全术语》</w:t>
      </w:r>
      <w:r>
        <w:rPr>
          <w:rFonts w:hint="eastAsia"/>
          <w:color w:val="auto"/>
          <w:lang w:val="en-US" w:eastAsia="zh-CN"/>
        </w:rPr>
        <w:t xml:space="preserve">                               </w:t>
      </w:r>
      <w:r>
        <w:rPr>
          <w:rFonts w:hint="default"/>
          <w:color w:val="auto"/>
          <w:lang w:val="en-US" w:eastAsia="zh-CN"/>
        </w:rPr>
        <w:t>GB/T15259-2008</w:t>
      </w:r>
    </w:p>
    <w:p w14:paraId="07F50AEA">
      <w:pPr>
        <w:rPr>
          <w:rFonts w:hint="default"/>
          <w:color w:val="auto"/>
          <w:lang w:val="en-US" w:eastAsia="zh-CN"/>
        </w:rPr>
      </w:pPr>
      <w:r>
        <w:rPr>
          <w:rFonts w:hint="default"/>
          <w:color w:val="auto"/>
          <w:lang w:val="en-US" w:eastAsia="zh-CN"/>
        </w:rPr>
        <w:t>《用电安全导则》</w:t>
      </w:r>
      <w:r>
        <w:rPr>
          <w:rFonts w:hint="eastAsia"/>
          <w:color w:val="auto"/>
          <w:lang w:val="en-US" w:eastAsia="zh-CN"/>
        </w:rPr>
        <w:t xml:space="preserve">                               </w:t>
      </w:r>
      <w:r>
        <w:rPr>
          <w:rFonts w:hint="default"/>
          <w:color w:val="auto"/>
          <w:lang w:val="en-US" w:eastAsia="zh-CN"/>
        </w:rPr>
        <w:t>GB/T13869-2008</w:t>
      </w:r>
    </w:p>
    <w:p w14:paraId="3FDD2230">
      <w:pPr>
        <w:rPr>
          <w:rFonts w:hint="default"/>
          <w:color w:val="auto"/>
          <w:lang w:val="en-US" w:eastAsia="zh-CN"/>
        </w:rPr>
      </w:pPr>
      <w:r>
        <w:rPr>
          <w:rFonts w:hint="default"/>
          <w:color w:val="auto"/>
          <w:lang w:val="en-US" w:eastAsia="zh-CN"/>
        </w:rPr>
        <w:t>《生产过程安全卫生</w:t>
      </w:r>
      <w:r>
        <w:rPr>
          <w:rFonts w:hint="eastAsia"/>
          <w:color w:val="auto"/>
          <w:lang w:val="en-US" w:eastAsia="zh-CN"/>
        </w:rPr>
        <w:t xml:space="preserve">要求总则》                   </w:t>
      </w:r>
      <w:r>
        <w:rPr>
          <w:rFonts w:hint="default"/>
          <w:color w:val="auto"/>
          <w:lang w:val="en-US" w:eastAsia="zh-CN"/>
        </w:rPr>
        <w:t>GB/T12801-2008</w:t>
      </w:r>
    </w:p>
    <w:p w14:paraId="7B0CEBDF">
      <w:pPr>
        <w:rPr>
          <w:rFonts w:hint="default"/>
          <w:color w:val="auto"/>
          <w:lang w:val="en-US" w:eastAsia="zh-CN"/>
        </w:rPr>
      </w:pPr>
      <w:r>
        <w:rPr>
          <w:rFonts w:hint="default"/>
          <w:color w:val="auto"/>
          <w:lang w:val="en-US" w:eastAsia="zh-CN"/>
        </w:rPr>
        <w:t>《矿山安全标志》</w:t>
      </w:r>
      <w:r>
        <w:rPr>
          <w:rFonts w:hint="eastAsia"/>
          <w:color w:val="auto"/>
          <w:lang w:val="en-US" w:eastAsia="zh-CN"/>
        </w:rPr>
        <w:t xml:space="preserve">                               </w:t>
      </w:r>
      <w:r>
        <w:rPr>
          <w:rFonts w:hint="default"/>
          <w:color w:val="auto"/>
          <w:lang w:val="en-US" w:eastAsia="zh-CN"/>
        </w:rPr>
        <w:t>GB/T14161-2008</w:t>
      </w:r>
    </w:p>
    <w:p w14:paraId="0C4E5347">
      <w:pPr>
        <w:rPr>
          <w:rFonts w:hint="default"/>
          <w:color w:val="auto"/>
          <w:lang w:val="en-US" w:eastAsia="zh-CN"/>
        </w:rPr>
      </w:pPr>
      <w:r>
        <w:rPr>
          <w:rFonts w:hint="default"/>
          <w:color w:val="auto"/>
          <w:lang w:val="en-US" w:eastAsia="zh-CN"/>
        </w:rPr>
        <w:t>《高处作业分级》</w:t>
      </w:r>
      <w:r>
        <w:rPr>
          <w:rFonts w:hint="eastAsia" w:ascii="Times New Roman" w:hAnsi="Times New Roman" w:eastAsia="宋体" w:cs="Times New Roman"/>
          <w:color w:val="auto"/>
          <w:sz w:val="28"/>
          <w:szCs w:val="28"/>
          <w:lang w:val="en-US" w:eastAsia="zh-CN"/>
        </w:rPr>
        <w:t xml:space="preserve">                                </w:t>
      </w:r>
      <w:r>
        <w:rPr>
          <w:rFonts w:hint="default"/>
          <w:color w:val="auto"/>
          <w:lang w:val="en-US" w:eastAsia="zh-CN"/>
        </w:rPr>
        <w:t>GB/T3608-2008</w:t>
      </w:r>
    </w:p>
    <w:p w14:paraId="641CC987">
      <w:pPr>
        <w:rPr>
          <w:rFonts w:hint="default"/>
          <w:color w:val="auto"/>
          <w:lang w:val="en-US" w:eastAsia="zh-CN"/>
        </w:rPr>
      </w:pPr>
      <w:r>
        <w:rPr>
          <w:rFonts w:hint="default"/>
          <w:color w:val="auto"/>
          <w:lang w:val="en-US" w:eastAsia="zh-CN"/>
        </w:rPr>
        <w:t>《企业安全生产标准化基本规范》</w:t>
      </w:r>
      <w:r>
        <w:rPr>
          <w:rFonts w:hint="eastAsia"/>
          <w:color w:val="auto"/>
          <w:lang w:val="en-US" w:eastAsia="zh-CN"/>
        </w:rPr>
        <w:t xml:space="preserve">                 </w:t>
      </w:r>
      <w:r>
        <w:rPr>
          <w:rFonts w:hint="default"/>
          <w:color w:val="auto"/>
          <w:lang w:val="en-US" w:eastAsia="zh-CN"/>
        </w:rPr>
        <w:t>GB/T 33000-2016</w:t>
      </w:r>
    </w:p>
    <w:p w14:paraId="231F8B59">
      <w:pPr>
        <w:rPr>
          <w:rFonts w:hint="default"/>
          <w:color w:val="auto"/>
          <w:lang w:val="en-US" w:eastAsia="zh-CN"/>
        </w:rPr>
      </w:pPr>
      <w:r>
        <w:rPr>
          <w:rFonts w:hint="default"/>
          <w:color w:val="auto"/>
          <w:lang w:val="en-US" w:eastAsia="zh-CN"/>
        </w:rPr>
        <w:t>《生产经营单位生产安全事故应急预案编制导则》</w:t>
      </w:r>
      <w:r>
        <w:rPr>
          <w:rFonts w:hint="eastAsia"/>
          <w:color w:val="auto"/>
          <w:lang w:val="en-US" w:eastAsia="zh-CN"/>
        </w:rPr>
        <w:t xml:space="preserve">   </w:t>
      </w:r>
      <w:r>
        <w:rPr>
          <w:rFonts w:hint="default"/>
          <w:color w:val="auto"/>
          <w:lang w:val="en-US" w:eastAsia="zh-CN"/>
        </w:rPr>
        <w:t>GB/T29639-2020</w:t>
      </w:r>
    </w:p>
    <w:p w14:paraId="2ACA8ACA">
      <w:pPr>
        <w:rPr>
          <w:rFonts w:hint="default"/>
          <w:color w:val="auto"/>
          <w:lang w:val="en-US" w:eastAsia="zh-CN"/>
        </w:rPr>
      </w:pPr>
      <w:r>
        <w:rPr>
          <w:rFonts w:hint="default"/>
          <w:color w:val="auto"/>
          <w:lang w:val="en-US" w:eastAsia="zh-CN"/>
        </w:rPr>
        <w:t>《生产过程危险和有害因素分类与代码》</w:t>
      </w:r>
      <w:r>
        <w:rPr>
          <w:rFonts w:hint="eastAsia"/>
          <w:color w:val="auto"/>
          <w:lang w:val="en-US" w:eastAsia="zh-CN"/>
        </w:rPr>
        <w:t xml:space="preserve">           </w:t>
      </w:r>
      <w:r>
        <w:rPr>
          <w:rFonts w:hint="default"/>
          <w:color w:val="auto"/>
          <w:lang w:val="en-US" w:eastAsia="zh-CN"/>
        </w:rPr>
        <w:t>GB/T 13861-2022</w:t>
      </w:r>
    </w:p>
    <w:p w14:paraId="520C0132">
      <w:pPr>
        <w:rPr>
          <w:rFonts w:hint="default"/>
          <w:color w:val="auto"/>
          <w:lang w:val="en-US" w:eastAsia="zh-CN"/>
        </w:rPr>
      </w:pPr>
      <w:r>
        <w:rPr>
          <w:rFonts w:hint="default"/>
          <w:color w:val="auto"/>
          <w:lang w:val="en-US" w:eastAsia="zh-CN"/>
        </w:rPr>
        <w:t>《建筑照明设计标准》</w:t>
      </w:r>
      <w:r>
        <w:rPr>
          <w:rFonts w:hint="eastAsia"/>
          <w:color w:val="auto"/>
          <w:lang w:val="en-US" w:eastAsia="zh-CN"/>
        </w:rPr>
        <w:t xml:space="preserve">                           </w:t>
      </w:r>
      <w:r>
        <w:rPr>
          <w:rFonts w:hint="default"/>
          <w:color w:val="auto"/>
          <w:lang w:val="en-US" w:eastAsia="zh-CN"/>
        </w:rPr>
        <w:t>GB/T 50034-2024</w:t>
      </w:r>
    </w:p>
    <w:p w14:paraId="39EA006A">
      <w:pPr>
        <w:rPr>
          <w:rFonts w:hint="default"/>
          <w:color w:val="auto"/>
          <w:lang w:val="en-US" w:eastAsia="zh-CN"/>
        </w:rPr>
      </w:pPr>
      <w:r>
        <w:rPr>
          <w:rFonts w:hint="default"/>
          <w:color w:val="auto"/>
          <w:lang w:val="en-US" w:eastAsia="zh-CN"/>
        </w:rPr>
        <w:t>《厂矿道路设计规范》</w:t>
      </w:r>
      <w:r>
        <w:rPr>
          <w:rFonts w:hint="eastAsia"/>
          <w:color w:val="auto"/>
          <w:lang w:val="en-US" w:eastAsia="zh-CN"/>
        </w:rPr>
        <w:t xml:space="preserve">                               </w:t>
      </w:r>
      <w:r>
        <w:rPr>
          <w:rFonts w:hint="default"/>
          <w:color w:val="auto"/>
          <w:lang w:val="en-US" w:eastAsia="zh-CN"/>
        </w:rPr>
        <w:t>GBJ22-1987</w:t>
      </w:r>
    </w:p>
    <w:p w14:paraId="5A4DDF20">
      <w:pPr>
        <w:rPr>
          <w:rFonts w:hint="default"/>
          <w:color w:val="auto"/>
          <w:lang w:val="en-US" w:eastAsia="zh-CN"/>
        </w:rPr>
      </w:pPr>
      <w:r>
        <w:rPr>
          <w:rFonts w:hint="default"/>
          <w:color w:val="auto"/>
          <w:lang w:val="en-US" w:eastAsia="zh-CN"/>
        </w:rPr>
        <w:t>《</w:t>
      </w:r>
      <w:r>
        <w:rPr>
          <w:rFonts w:hint="eastAsia"/>
          <w:color w:val="auto"/>
          <w:lang w:val="en-US" w:eastAsia="zh-CN"/>
        </w:rPr>
        <w:t>工作</w:t>
      </w:r>
      <w:r>
        <w:rPr>
          <w:rFonts w:hint="default"/>
          <w:color w:val="auto"/>
          <w:lang w:val="en-US" w:eastAsia="zh-CN"/>
        </w:rPr>
        <w:t>场所职业病危害警示标识》</w:t>
      </w:r>
      <w:r>
        <w:rPr>
          <w:rFonts w:hint="eastAsia"/>
          <w:color w:val="auto"/>
          <w:lang w:val="en-US" w:eastAsia="zh-CN"/>
        </w:rPr>
        <w:t xml:space="preserve">                    </w:t>
      </w:r>
      <w:r>
        <w:rPr>
          <w:rFonts w:hint="default"/>
          <w:color w:val="auto"/>
          <w:lang w:val="en-US" w:eastAsia="zh-CN"/>
        </w:rPr>
        <w:t>GBZ158-2003</w:t>
      </w:r>
    </w:p>
    <w:p w14:paraId="14F17407">
      <w:pPr>
        <w:rPr>
          <w:rFonts w:hint="default"/>
          <w:color w:val="auto"/>
          <w:lang w:val="en-US" w:eastAsia="zh-CN"/>
        </w:rPr>
      </w:pPr>
      <w:r>
        <w:rPr>
          <w:rFonts w:hint="default"/>
          <w:color w:val="auto"/>
          <w:lang w:val="en-US" w:eastAsia="zh-CN"/>
        </w:rPr>
        <w:t>《工业企业设计卫生标准》</w:t>
      </w:r>
      <w:r>
        <w:rPr>
          <w:rFonts w:hint="eastAsia"/>
          <w:color w:val="auto"/>
          <w:lang w:val="en-US" w:eastAsia="zh-CN"/>
        </w:rPr>
        <w:t xml:space="preserve">                            </w:t>
      </w:r>
      <w:r>
        <w:rPr>
          <w:rFonts w:hint="default"/>
          <w:color w:val="auto"/>
          <w:lang w:val="en-US" w:eastAsia="zh-CN"/>
        </w:rPr>
        <w:t>GBZ1-2010</w:t>
      </w:r>
    </w:p>
    <w:p w14:paraId="45279995">
      <w:pPr>
        <w:rPr>
          <w:rFonts w:hint="default"/>
          <w:color w:val="auto"/>
          <w:lang w:val="en-US" w:eastAsia="zh-CN"/>
        </w:rPr>
      </w:pPr>
      <w:r>
        <w:rPr>
          <w:rFonts w:hint="default"/>
          <w:color w:val="auto"/>
          <w:lang w:val="en-US" w:eastAsia="zh-CN"/>
        </w:rPr>
        <w:t>《工作场所有害因素职业接触限值 第2部分：物理因素》GBZ 2.2-2007</w:t>
      </w:r>
    </w:p>
    <w:p w14:paraId="0838E3C7">
      <w:pPr>
        <w:rPr>
          <w:rFonts w:hint="default"/>
          <w:color w:val="auto"/>
          <w:lang w:val="en-US" w:eastAsia="zh-CN"/>
        </w:rPr>
      </w:pPr>
      <w:r>
        <w:rPr>
          <w:rFonts w:hint="default"/>
          <w:color w:val="auto"/>
          <w:lang w:val="en-US" w:eastAsia="zh-CN"/>
        </w:rPr>
        <w:t>《工作场所空气中粉尘测定 第1部分：总粉尘浓度》GBZ/T 192.1-2007</w:t>
      </w:r>
    </w:p>
    <w:p w14:paraId="028E6E79">
      <w:pPr>
        <w:rPr>
          <w:rFonts w:hint="default"/>
          <w:color w:val="auto"/>
          <w:lang w:val="en-US" w:eastAsia="zh-CN"/>
        </w:rPr>
      </w:pPr>
      <w:r>
        <w:rPr>
          <w:rFonts w:hint="default"/>
          <w:color w:val="auto"/>
          <w:lang w:val="en-US" w:eastAsia="zh-CN"/>
        </w:rPr>
        <w:t>《工作场所有害因素职业接触限值 第1部分：化学有害因素》</w:t>
      </w:r>
    </w:p>
    <w:p w14:paraId="1E85B5FC">
      <w:pPr>
        <w:jc w:val="right"/>
        <w:rPr>
          <w:rFonts w:hint="default"/>
          <w:color w:val="auto"/>
          <w:lang w:val="en-US" w:eastAsia="zh-CN"/>
        </w:rPr>
      </w:pPr>
      <w:r>
        <w:rPr>
          <w:rFonts w:hint="default"/>
          <w:color w:val="auto"/>
          <w:lang w:val="en-US" w:eastAsia="zh-CN"/>
        </w:rPr>
        <w:t>GBZ 2.1-2019/XG2-2024</w:t>
      </w:r>
    </w:p>
    <w:p w14:paraId="1FD808A3">
      <w:pPr>
        <w:rPr>
          <w:rFonts w:hint="default"/>
          <w:color w:val="auto"/>
          <w:lang w:val="en-US" w:eastAsia="zh-CN"/>
        </w:rPr>
      </w:pPr>
      <w:r>
        <w:rPr>
          <w:rFonts w:hint="default"/>
          <w:color w:val="auto"/>
          <w:lang w:val="en-US" w:eastAsia="zh-CN"/>
        </w:rPr>
        <w:t>《金属非金属矿山排土场安全生产规则》</w:t>
      </w:r>
      <w:r>
        <w:rPr>
          <w:rFonts w:hint="eastAsia"/>
          <w:color w:val="auto"/>
          <w:lang w:val="en-US" w:eastAsia="zh-CN"/>
        </w:rPr>
        <w:t xml:space="preserve">              </w:t>
      </w:r>
      <w:r>
        <w:rPr>
          <w:rFonts w:hint="default"/>
          <w:color w:val="auto"/>
          <w:lang w:val="en-US" w:eastAsia="zh-CN"/>
        </w:rPr>
        <w:t>AQ2005-2005</w:t>
      </w:r>
    </w:p>
    <w:p w14:paraId="5E536497">
      <w:pPr>
        <w:rPr>
          <w:rFonts w:hint="default"/>
          <w:color w:val="auto"/>
          <w:lang w:val="en-US" w:eastAsia="zh-CN"/>
        </w:rPr>
      </w:pPr>
      <w:r>
        <w:rPr>
          <w:rFonts w:hint="default"/>
          <w:color w:val="auto"/>
          <w:lang w:val="en-US" w:eastAsia="zh-CN"/>
        </w:rPr>
        <w:t>《矿用产品安全标志》</w:t>
      </w:r>
      <w:r>
        <w:rPr>
          <w:rFonts w:hint="eastAsia"/>
          <w:color w:val="auto"/>
          <w:lang w:val="en-US" w:eastAsia="zh-CN"/>
        </w:rPr>
        <w:t xml:space="preserve">                              </w:t>
      </w:r>
      <w:r>
        <w:rPr>
          <w:rFonts w:hint="default"/>
          <w:color w:val="auto"/>
          <w:lang w:val="en-US" w:eastAsia="zh-CN"/>
        </w:rPr>
        <w:t>AQ1043-2007</w:t>
      </w:r>
    </w:p>
    <w:p w14:paraId="4C83104F">
      <w:pPr>
        <w:rPr>
          <w:rFonts w:hint="default"/>
          <w:color w:val="auto"/>
          <w:lang w:val="en-US" w:eastAsia="zh-CN"/>
        </w:rPr>
      </w:pPr>
      <w:r>
        <w:rPr>
          <w:rFonts w:hint="default"/>
          <w:color w:val="auto"/>
          <w:lang w:val="en-US" w:eastAsia="zh-CN"/>
        </w:rPr>
        <w:t>《安全评价通则》</w:t>
      </w:r>
      <w:r>
        <w:rPr>
          <w:rFonts w:hint="eastAsia"/>
          <w:color w:val="auto"/>
          <w:lang w:val="en-US" w:eastAsia="zh-CN"/>
        </w:rPr>
        <w:t xml:space="preserve">                                  </w:t>
      </w:r>
      <w:r>
        <w:rPr>
          <w:rFonts w:hint="default"/>
          <w:color w:val="auto"/>
          <w:lang w:val="en-US" w:eastAsia="zh-CN"/>
        </w:rPr>
        <w:t>AQ8001-2007</w:t>
      </w:r>
    </w:p>
    <w:p w14:paraId="40E5846F">
      <w:pPr>
        <w:rPr>
          <w:rFonts w:hint="default"/>
          <w:color w:val="auto"/>
          <w:lang w:val="en-US" w:eastAsia="zh-CN"/>
        </w:rPr>
      </w:pPr>
      <w:r>
        <w:rPr>
          <w:rFonts w:hint="default"/>
          <w:color w:val="auto"/>
          <w:lang w:val="en-US" w:eastAsia="zh-CN"/>
        </w:rPr>
        <w:t>《企业安全文化建设导则》</w:t>
      </w:r>
      <w:r>
        <w:rPr>
          <w:rFonts w:hint="eastAsia"/>
          <w:color w:val="auto"/>
          <w:lang w:val="en-US" w:eastAsia="zh-CN"/>
        </w:rPr>
        <w:t xml:space="preserve">                        </w:t>
      </w:r>
      <w:r>
        <w:rPr>
          <w:rFonts w:hint="default"/>
          <w:color w:val="auto"/>
          <w:lang w:val="en-US" w:eastAsia="zh-CN"/>
        </w:rPr>
        <w:t>AQ/T9004-2008</w:t>
      </w:r>
    </w:p>
    <w:p w14:paraId="3FF3C462">
      <w:pPr>
        <w:rPr>
          <w:rFonts w:hint="default"/>
          <w:color w:val="auto"/>
          <w:lang w:val="en-US" w:eastAsia="zh-CN"/>
        </w:rPr>
      </w:pPr>
      <w:r>
        <w:rPr>
          <w:rFonts w:hint="eastAsia"/>
          <w:color w:val="auto"/>
          <w:lang w:val="en-US" w:eastAsia="zh-CN"/>
        </w:rPr>
        <w:t xml:space="preserve">《金属非金属矿山在用设备设施安全检测检验目录》  </w:t>
      </w:r>
      <w:r>
        <w:rPr>
          <w:rFonts w:hint="default"/>
          <w:color w:val="auto"/>
          <w:lang w:val="en-US" w:eastAsia="zh-CN"/>
        </w:rPr>
        <w:t>AQ/T</w:t>
      </w:r>
      <w:r>
        <w:rPr>
          <w:rFonts w:hint="eastAsia"/>
          <w:color w:val="auto"/>
          <w:lang w:val="en-US" w:eastAsia="zh-CN"/>
        </w:rPr>
        <w:t>2075</w:t>
      </w:r>
      <w:r>
        <w:rPr>
          <w:rFonts w:hint="default"/>
          <w:color w:val="auto"/>
          <w:lang w:val="en-US" w:eastAsia="zh-CN"/>
        </w:rPr>
        <w:t>-20</w:t>
      </w:r>
      <w:r>
        <w:rPr>
          <w:rFonts w:hint="eastAsia"/>
          <w:color w:val="auto"/>
          <w:lang w:val="en-US" w:eastAsia="zh-CN"/>
        </w:rPr>
        <w:t>19</w:t>
      </w:r>
    </w:p>
    <w:p w14:paraId="01A0652E">
      <w:pPr>
        <w:rPr>
          <w:rFonts w:hint="eastAsia"/>
          <w:color w:val="auto"/>
          <w:lang w:val="en-US" w:eastAsia="zh-CN"/>
        </w:rPr>
      </w:pPr>
      <w:r>
        <w:rPr>
          <w:rFonts w:hint="default"/>
          <w:color w:val="auto"/>
          <w:lang w:val="en-US" w:eastAsia="zh-CN"/>
        </w:rPr>
        <w:t>《生产安全事故应急演练指南》</w:t>
      </w:r>
      <w:r>
        <w:rPr>
          <w:rFonts w:hint="eastAsia"/>
          <w:color w:val="auto"/>
          <w:lang w:val="en-US" w:eastAsia="zh-CN"/>
        </w:rPr>
        <w:t xml:space="preserve">                    </w:t>
      </w:r>
      <w:r>
        <w:rPr>
          <w:rFonts w:hint="default"/>
          <w:color w:val="auto"/>
          <w:lang w:val="en-US" w:eastAsia="zh-CN"/>
        </w:rPr>
        <w:t>AQ/T9007-20</w:t>
      </w:r>
      <w:r>
        <w:rPr>
          <w:rFonts w:hint="eastAsia"/>
          <w:color w:val="auto"/>
          <w:lang w:val="en-US" w:eastAsia="zh-CN"/>
        </w:rPr>
        <w:t>19</w:t>
      </w:r>
    </w:p>
    <w:p w14:paraId="42F980C6">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《金属非金属矿山安全标准化规范 导则》</w:t>
      </w:r>
      <w:r>
        <w:rPr>
          <w:rFonts w:hint="eastAsia" w:ascii="Times New Roman" w:hAnsi="Times New Roman" w:eastAsia="宋体" w:cs="Times New Roman"/>
          <w:color w:val="auto"/>
          <w:lang w:val="en-US" w:eastAsia="zh-CN"/>
        </w:rPr>
        <w:t xml:space="preserve">         KA</w:t>
      </w:r>
      <w:r>
        <w:rPr>
          <w:rFonts w:hint="default" w:ascii="Times New Roman" w:hAnsi="Times New Roman" w:eastAsia="宋体" w:cs="Times New Roman"/>
          <w:color w:val="auto"/>
          <w:lang w:val="en-US" w:eastAsia="zh-CN"/>
        </w:rPr>
        <w:t>/T2050.1-2016</w:t>
      </w:r>
    </w:p>
    <w:p w14:paraId="4765A399">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《金属非金属矿山安全标准化规范 露天矿山实施指南》</w:t>
      </w:r>
    </w:p>
    <w:p w14:paraId="05D3A800">
      <w:pPr>
        <w:jc w:val="right"/>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KA</w:t>
      </w:r>
      <w:r>
        <w:rPr>
          <w:rFonts w:hint="default" w:ascii="Times New Roman" w:hAnsi="Times New Roman" w:eastAsia="宋体" w:cs="Times New Roman"/>
          <w:color w:val="auto"/>
          <w:lang w:val="en-US" w:eastAsia="zh-CN"/>
        </w:rPr>
        <w:t>/T2050.3-2016</w:t>
      </w:r>
    </w:p>
    <w:p w14:paraId="4918D9D0">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《矿山隐蔽致灾因素普查规范 第1部分：总则》</w:t>
      </w:r>
      <w:r>
        <w:rPr>
          <w:rFonts w:hint="eastAsia"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lang w:val="en-US" w:eastAsia="zh-CN"/>
        </w:rPr>
        <w:t>KA/T 22.1-2024</w:t>
      </w:r>
    </w:p>
    <w:p w14:paraId="4296AE5E">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《矿山隐蔽致灾因素普查规范第3部分：金属非金属矿山及尾矿库》</w:t>
      </w:r>
    </w:p>
    <w:p w14:paraId="68AD6B05">
      <w:pPr>
        <w:jc w:val="right"/>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KA/T 22.3-2024</w:t>
      </w:r>
    </w:p>
    <w:p w14:paraId="7A04CD46">
      <w:pPr>
        <w:pStyle w:val="4"/>
        <w:bidi w:val="0"/>
        <w:rPr>
          <w:rFonts w:hint="default"/>
          <w:color w:val="auto"/>
          <w:lang w:val="en-US" w:eastAsia="zh-CN"/>
        </w:rPr>
      </w:pPr>
      <w:bookmarkStart w:id="47" w:name="_Toc29610"/>
      <w:bookmarkStart w:id="48" w:name="_Toc24985"/>
      <w:bookmarkStart w:id="49" w:name="_Toc24444"/>
      <w:r>
        <w:rPr>
          <w:rFonts w:hint="default"/>
          <w:color w:val="auto"/>
          <w:lang w:val="en-US" w:eastAsia="zh-CN"/>
        </w:rPr>
        <w:t>1.3.</w:t>
      </w:r>
      <w:r>
        <w:rPr>
          <w:rFonts w:hint="eastAsia"/>
          <w:color w:val="auto"/>
          <w:lang w:val="en-US" w:eastAsia="zh-CN"/>
        </w:rPr>
        <w:t>4</w:t>
      </w:r>
      <w:r>
        <w:rPr>
          <w:rFonts w:hint="default"/>
          <w:color w:val="auto"/>
          <w:lang w:val="en-US" w:eastAsia="zh-CN"/>
        </w:rPr>
        <w:t xml:space="preserve"> 建设项目技术资料</w:t>
      </w:r>
      <w:bookmarkEnd w:id="47"/>
      <w:bookmarkEnd w:id="48"/>
      <w:bookmarkEnd w:id="49"/>
    </w:p>
    <w:p w14:paraId="3667BE3A">
      <w:pPr>
        <w:rPr>
          <w:rFonts w:hint="default"/>
          <w:color w:val="auto"/>
          <w:lang w:val="en-US" w:eastAsia="zh-CN"/>
        </w:rPr>
      </w:pPr>
      <w:r>
        <w:rPr>
          <w:rFonts w:hint="default"/>
          <w:color w:val="auto"/>
          <w:lang w:val="en-US" w:eastAsia="zh-CN"/>
        </w:rPr>
        <w:t>《江西省坤育矿业有限公司德安县聂桥镇刘家山矿区建筑用辉绿岩矿露天开采</w:t>
      </w:r>
      <w:r>
        <w:rPr>
          <w:rFonts w:hint="eastAsia" w:ascii="宋体" w:hAnsi="宋体" w:eastAsia="宋体" w:cs="宋体"/>
          <w:color w:val="auto"/>
          <w:lang w:val="en-US" w:eastAsia="zh-CN"/>
        </w:rPr>
        <w:t>Ⅰ</w:t>
      </w:r>
      <w:r>
        <w:rPr>
          <w:rFonts w:hint="default"/>
          <w:color w:val="auto"/>
          <w:lang w:val="en-US" w:eastAsia="zh-CN"/>
        </w:rPr>
        <w:t>期工程安全设施设计》</w:t>
      </w:r>
      <w:r>
        <w:rPr>
          <w:rFonts w:hint="eastAsia"/>
          <w:color w:val="auto"/>
          <w:lang w:val="en-US" w:eastAsia="zh-CN"/>
        </w:rPr>
        <w:t>（</w:t>
      </w:r>
      <w:r>
        <w:rPr>
          <w:rFonts w:hint="default"/>
          <w:color w:val="auto"/>
          <w:lang w:val="en-US" w:eastAsia="zh-CN"/>
        </w:rPr>
        <w:t>山东省冶金设计院股份有限公司</w:t>
      </w:r>
      <w:r>
        <w:rPr>
          <w:rFonts w:hint="eastAsia"/>
          <w:color w:val="auto"/>
          <w:lang w:val="en-US" w:eastAsia="zh-CN"/>
        </w:rPr>
        <w:t>，</w:t>
      </w:r>
      <w:r>
        <w:rPr>
          <w:rFonts w:hint="default"/>
          <w:color w:val="auto"/>
          <w:lang w:val="en-US" w:eastAsia="zh-CN"/>
        </w:rPr>
        <w:t>2018年9月</w:t>
      </w:r>
      <w:r>
        <w:rPr>
          <w:rFonts w:hint="eastAsia"/>
          <w:color w:val="auto"/>
          <w:lang w:val="en-US" w:eastAsia="zh-CN"/>
        </w:rPr>
        <w:t>）</w:t>
      </w:r>
    </w:p>
    <w:p w14:paraId="050D1460">
      <w:pPr>
        <w:rPr>
          <w:rFonts w:hint="default"/>
          <w:color w:val="auto"/>
          <w:lang w:val="en-US" w:eastAsia="zh-CN"/>
        </w:rPr>
      </w:pPr>
      <w:r>
        <w:rPr>
          <w:rFonts w:hint="eastAsia"/>
          <w:color w:val="auto"/>
          <w:lang w:val="en-US" w:eastAsia="zh-CN"/>
        </w:rPr>
        <w:t>《江西省坤育矿业有限公司德安县聂桥镇刘家山矿区建筑用辉绿岩矿露天边坡一期工程在线监测设计方案》（</w:t>
      </w:r>
      <w:r>
        <w:rPr>
          <w:rFonts w:hint="default"/>
          <w:color w:val="auto"/>
          <w:lang w:val="en-US" w:eastAsia="zh-CN"/>
        </w:rPr>
        <w:t>江西省冶金设计院有限责任公司</w:t>
      </w:r>
      <w:r>
        <w:rPr>
          <w:rFonts w:hint="eastAsia"/>
          <w:color w:val="auto"/>
          <w:lang w:val="en-US" w:eastAsia="zh-CN"/>
        </w:rPr>
        <w:t>，2024年11月）</w:t>
      </w:r>
    </w:p>
    <w:p w14:paraId="0DAACB24">
      <w:pPr>
        <w:rPr>
          <w:rFonts w:hint="eastAsia"/>
          <w:color w:val="auto"/>
          <w:lang w:val="en-US" w:eastAsia="zh-CN"/>
        </w:rPr>
      </w:pPr>
      <w:r>
        <w:rPr>
          <w:rFonts w:hint="eastAsia"/>
          <w:color w:val="auto"/>
          <w:lang w:val="en-US" w:eastAsia="zh-CN"/>
        </w:rPr>
        <w:t>《德安县聂桥镇刘家山矿区建筑用辉绿岩矿露采边坡稳定性分析报告》（</w:t>
      </w:r>
      <w:r>
        <w:rPr>
          <w:rFonts w:hint="default"/>
          <w:color w:val="auto"/>
          <w:lang w:val="en-US" w:eastAsia="zh-CN"/>
        </w:rPr>
        <w:t>江西九勘地质工程技术有限公司</w:t>
      </w:r>
      <w:r>
        <w:rPr>
          <w:rFonts w:hint="eastAsia"/>
          <w:color w:val="auto"/>
          <w:lang w:val="en-US" w:eastAsia="zh-CN"/>
        </w:rPr>
        <w:t>，2025年1月）</w:t>
      </w:r>
    </w:p>
    <w:p w14:paraId="68D68C3C">
      <w:pPr>
        <w:rPr>
          <w:rFonts w:hint="eastAsia"/>
          <w:color w:val="auto"/>
          <w:lang w:val="en-US" w:eastAsia="zh-CN"/>
        </w:rPr>
      </w:pPr>
      <w:r>
        <w:rPr>
          <w:rFonts w:hint="eastAsia"/>
          <w:color w:val="auto"/>
          <w:lang w:val="en-US" w:eastAsia="zh-CN"/>
        </w:rPr>
        <w:t>《矿用自卸汽车安全检测检验报告》（中检集团公信安全科技有限公司，2025年4月）</w:t>
      </w:r>
    </w:p>
    <w:p w14:paraId="6007A43F">
      <w:pPr>
        <w:rPr>
          <w:rFonts w:hint="default"/>
          <w:color w:val="auto"/>
          <w:lang w:val="en-US" w:eastAsia="zh-CN"/>
        </w:rPr>
      </w:pPr>
      <w:r>
        <w:rPr>
          <w:rFonts w:hint="default"/>
          <w:color w:val="auto"/>
          <w:lang w:val="en-US" w:eastAsia="zh-CN"/>
        </w:rPr>
        <w:t>江西省坤育矿业有限公司提供的营业执照、采矿许可证、安全生产许可证、资格证书（主要负责人、安全生产管理人员、特种作业人员）、应急预案备案表、救援协议等附件以及矿区地质地形图、现状平面图</w:t>
      </w:r>
      <w:r>
        <w:rPr>
          <w:rFonts w:hint="eastAsia"/>
          <w:color w:val="auto"/>
          <w:lang w:val="en-US" w:eastAsia="zh-CN"/>
        </w:rPr>
        <w:t>、</w:t>
      </w:r>
      <w:r>
        <w:rPr>
          <w:rFonts w:hint="default"/>
          <w:color w:val="auto"/>
          <w:lang w:val="en-US" w:eastAsia="zh-CN"/>
        </w:rPr>
        <w:t>剖面图、供配电系统图、最终境界图等</w:t>
      </w:r>
      <w:r>
        <w:rPr>
          <w:rFonts w:hint="eastAsia"/>
          <w:color w:val="auto"/>
          <w:lang w:val="en-US" w:eastAsia="zh-CN"/>
        </w:rPr>
        <w:t>。</w:t>
      </w:r>
    </w:p>
    <w:p w14:paraId="77846A71">
      <w:pPr>
        <w:pStyle w:val="3"/>
        <w:bidi w:val="0"/>
        <w:rPr>
          <w:rFonts w:hint="default"/>
          <w:color w:val="auto"/>
          <w:lang w:val="en-US" w:eastAsia="zh-CN"/>
        </w:rPr>
      </w:pPr>
      <w:bookmarkStart w:id="50" w:name="_Toc26452"/>
      <w:bookmarkStart w:id="51" w:name="_Toc24835"/>
      <w:bookmarkStart w:id="52" w:name="_Toc8017"/>
      <w:r>
        <w:rPr>
          <w:rFonts w:hint="default"/>
          <w:color w:val="auto"/>
          <w:lang w:val="en-US" w:eastAsia="zh-CN"/>
        </w:rPr>
        <w:t>1.4</w:t>
      </w:r>
      <w:r>
        <w:rPr>
          <w:rFonts w:hint="eastAsia"/>
          <w:color w:val="auto"/>
          <w:lang w:val="en-US" w:eastAsia="zh-CN"/>
        </w:rPr>
        <w:t xml:space="preserve"> </w:t>
      </w:r>
      <w:r>
        <w:rPr>
          <w:rFonts w:hint="default"/>
          <w:color w:val="auto"/>
          <w:lang w:val="en-US" w:eastAsia="zh-CN"/>
        </w:rPr>
        <w:t>评价程序</w:t>
      </w:r>
      <w:bookmarkEnd w:id="50"/>
      <w:bookmarkEnd w:id="51"/>
      <w:bookmarkEnd w:id="52"/>
    </w:p>
    <w:p w14:paraId="75EC1B77">
      <w:pPr>
        <w:bidi w:val="0"/>
        <w:rPr>
          <w:rFonts w:hint="default"/>
          <w:color w:val="auto"/>
          <w:lang w:val="en-US" w:eastAsia="zh-CN"/>
        </w:rPr>
      </w:pPr>
      <w:r>
        <w:rPr>
          <w:rFonts w:hint="default"/>
          <w:color w:val="auto"/>
          <w:lang w:val="en-US" w:eastAsia="zh-CN"/>
        </w:rPr>
        <w:t>安全现状评价程序框图1.4-1。</w:t>
      </w:r>
    </w:p>
    <w:p w14:paraId="5D321A5F">
      <w:pPr>
        <w:bidi w:val="0"/>
        <w:ind w:left="0" w:leftChars="0" w:firstLine="0" w:firstLineChars="0"/>
        <w:jc w:val="center"/>
        <w:rPr>
          <w:rFonts w:hint="default"/>
          <w:color w:val="auto"/>
          <w:lang w:val="en-US" w:eastAsia="zh-CN"/>
        </w:rPr>
      </w:pPr>
      <w:r>
        <w:rPr>
          <w:rFonts w:ascii="Times New Roman" w:hAnsi="Times New Roman" w:eastAsia="宋体" w:cs="Times New Roman"/>
          <w:b/>
          <w:bCs/>
          <w:color w:val="auto"/>
          <w:sz w:val="28"/>
          <w:szCs w:val="28"/>
        </w:rPr>
        <mc:AlternateContent>
          <mc:Choice Requires="wpg">
            <w:drawing>
              <wp:inline distT="0" distB="0" distL="114300" distR="114300">
                <wp:extent cx="2421890" cy="5261610"/>
                <wp:effectExtent l="4445" t="4445" r="12065" b="10795"/>
                <wp:docPr id="33" name="组合 33"/>
                <wp:cNvGraphicFramePr/>
                <a:graphic xmlns:a="http://schemas.openxmlformats.org/drawingml/2006/main">
                  <a:graphicData uri="http://schemas.microsoft.com/office/word/2010/wordprocessingGroup">
                    <wpg:wgp>
                      <wpg:cNvGrpSpPr/>
                      <wpg:grpSpPr>
                        <a:xfrm>
                          <a:off x="0" y="0"/>
                          <a:ext cx="2421890" cy="5261610"/>
                          <a:chOff x="4566" y="6790"/>
                          <a:chExt cx="3030" cy="8424"/>
                        </a:xfrm>
                      </wpg:grpSpPr>
                      <wps:wsp>
                        <wps:cNvPr id="18" name="文本框 18"/>
                        <wps:cNvSpPr txBox="1"/>
                        <wps:spPr>
                          <a:xfrm>
                            <a:off x="4566" y="6790"/>
                            <a:ext cx="3030" cy="402"/>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78E28FF">
                              <w:pPr>
                                <w:spacing w:line="240" w:lineRule="auto"/>
                                <w:ind w:firstLine="0" w:firstLineChars="0"/>
                                <w:jc w:val="center"/>
                                <w:rPr>
                                  <w:rFonts w:ascii="Times New Roman" w:hAnsi="Times New Roman" w:eastAsia="宋体" w:cs="Times New Roman"/>
                                  <w:sz w:val="21"/>
                                </w:rPr>
                              </w:pPr>
                              <w:r>
                                <w:rPr>
                                  <w:rFonts w:hint="eastAsia" w:ascii="Times New Roman" w:hAnsi="Times New Roman" w:eastAsia="宋体" w:cs="Times New Roman"/>
                                  <w:sz w:val="21"/>
                                </w:rPr>
                                <w:t>前期准备</w:t>
                              </w:r>
                            </w:p>
                          </w:txbxContent>
                        </wps:txbx>
                        <wps:bodyPr upright="1"/>
                      </wps:wsp>
                      <wps:wsp>
                        <wps:cNvPr id="19" name="文本框 19"/>
                        <wps:cNvSpPr txBox="1"/>
                        <wps:spPr>
                          <a:xfrm>
                            <a:off x="4566" y="7893"/>
                            <a:ext cx="3030" cy="403"/>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DBDD99A">
                              <w:pPr>
                                <w:spacing w:line="240" w:lineRule="auto"/>
                                <w:ind w:firstLine="0" w:firstLineChars="0"/>
                                <w:jc w:val="center"/>
                                <w:rPr>
                                  <w:rFonts w:ascii="Times New Roman" w:hAnsi="Times New Roman" w:eastAsia="宋体" w:cs="Times New Roman"/>
                                  <w:sz w:val="21"/>
                                </w:rPr>
                              </w:pPr>
                              <w:r>
                                <w:rPr>
                                  <w:rFonts w:hint="eastAsia" w:ascii="Times New Roman" w:hAnsi="Times New Roman" w:eastAsia="宋体" w:cs="Times New Roman"/>
                                  <w:sz w:val="21"/>
                                </w:rPr>
                                <w:t>辩识与分析危险、有害因素</w:t>
                              </w:r>
                            </w:p>
                          </w:txbxContent>
                        </wps:txbx>
                        <wps:bodyPr upright="1"/>
                      </wps:wsp>
                      <wps:wsp>
                        <wps:cNvPr id="20" name="文本框 20"/>
                        <wps:cNvSpPr txBox="1"/>
                        <wps:spPr>
                          <a:xfrm>
                            <a:off x="4566" y="9100"/>
                            <a:ext cx="3030" cy="403"/>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755F645">
                              <w:pPr>
                                <w:spacing w:line="240" w:lineRule="auto"/>
                                <w:ind w:firstLine="0" w:firstLineChars="0"/>
                                <w:jc w:val="center"/>
                                <w:rPr>
                                  <w:rFonts w:ascii="Times New Roman" w:hAnsi="Times New Roman" w:eastAsia="宋体" w:cs="Times New Roman"/>
                                  <w:sz w:val="21"/>
                                </w:rPr>
                              </w:pPr>
                              <w:r>
                                <w:rPr>
                                  <w:rFonts w:hint="eastAsia" w:ascii="Times New Roman" w:hAnsi="Times New Roman" w:eastAsia="宋体" w:cs="Times New Roman"/>
                                  <w:sz w:val="21"/>
                                </w:rPr>
                                <w:t>划分评价单元</w:t>
                              </w:r>
                            </w:p>
                          </w:txbxContent>
                        </wps:txbx>
                        <wps:bodyPr upright="1"/>
                      </wps:wsp>
                      <wps:wsp>
                        <wps:cNvPr id="21" name="文本框 21"/>
                        <wps:cNvSpPr txBox="1"/>
                        <wps:spPr>
                          <a:xfrm>
                            <a:off x="4566" y="10204"/>
                            <a:ext cx="3030" cy="402"/>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B74D74D">
                              <w:pPr>
                                <w:spacing w:line="240" w:lineRule="auto"/>
                                <w:ind w:firstLine="0" w:firstLineChars="0"/>
                                <w:jc w:val="center"/>
                                <w:rPr>
                                  <w:rFonts w:ascii="Times New Roman" w:hAnsi="Times New Roman" w:eastAsia="宋体" w:cs="Times New Roman"/>
                                  <w:sz w:val="21"/>
                                </w:rPr>
                              </w:pPr>
                              <w:r>
                                <w:rPr>
                                  <w:rFonts w:hint="eastAsia" w:ascii="Times New Roman" w:hAnsi="Times New Roman" w:eastAsia="宋体" w:cs="Times New Roman"/>
                                  <w:sz w:val="21"/>
                                </w:rPr>
                                <w:t>选择评价方法</w:t>
                              </w:r>
                            </w:p>
                          </w:txbxContent>
                        </wps:txbx>
                        <wps:bodyPr upright="1"/>
                      </wps:wsp>
                      <wps:wsp>
                        <wps:cNvPr id="22" name="文本框 22"/>
                        <wps:cNvSpPr txBox="1"/>
                        <wps:spPr>
                          <a:xfrm>
                            <a:off x="4566" y="11398"/>
                            <a:ext cx="3030" cy="402"/>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F1FE9DF">
                              <w:pPr>
                                <w:spacing w:line="240" w:lineRule="auto"/>
                                <w:ind w:firstLine="0" w:firstLineChars="0"/>
                                <w:jc w:val="center"/>
                                <w:rPr>
                                  <w:rFonts w:ascii="Times New Roman" w:hAnsi="Times New Roman" w:eastAsia="宋体" w:cs="Times New Roman"/>
                                  <w:sz w:val="21"/>
                                </w:rPr>
                              </w:pPr>
                              <w:r>
                                <w:rPr>
                                  <w:rFonts w:hint="eastAsia" w:ascii="Times New Roman" w:hAnsi="Times New Roman" w:eastAsia="宋体" w:cs="Times New Roman"/>
                                  <w:sz w:val="21"/>
                                </w:rPr>
                                <w:t>定性定量评价</w:t>
                              </w:r>
                            </w:p>
                          </w:txbxContent>
                        </wps:txbx>
                        <wps:bodyPr upright="1"/>
                      </wps:wsp>
                      <wps:wsp>
                        <wps:cNvPr id="23" name="文本框 23"/>
                        <wps:cNvSpPr txBox="1"/>
                        <wps:spPr>
                          <a:xfrm>
                            <a:off x="4566" y="12501"/>
                            <a:ext cx="3030" cy="403"/>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B9CCBDA">
                              <w:pPr>
                                <w:spacing w:line="240" w:lineRule="auto"/>
                                <w:ind w:firstLine="0" w:firstLineChars="0"/>
                                <w:jc w:val="center"/>
                                <w:rPr>
                                  <w:rFonts w:ascii="Times New Roman" w:hAnsi="Times New Roman" w:eastAsia="宋体" w:cs="Times New Roman"/>
                                  <w:sz w:val="21"/>
                                </w:rPr>
                              </w:pPr>
                              <w:r>
                                <w:rPr>
                                  <w:rFonts w:hint="eastAsia" w:ascii="Times New Roman" w:hAnsi="Times New Roman" w:eastAsia="宋体" w:cs="Times New Roman"/>
                                  <w:sz w:val="21"/>
                                </w:rPr>
                                <w:t>提出安全对策措施建议</w:t>
                              </w:r>
                            </w:p>
                          </w:txbxContent>
                        </wps:txbx>
                        <wps:bodyPr upright="1"/>
                      </wps:wsp>
                      <wps:wsp>
                        <wps:cNvPr id="24" name="文本框 24"/>
                        <wps:cNvSpPr txBox="1"/>
                        <wps:spPr>
                          <a:xfrm>
                            <a:off x="4566" y="13708"/>
                            <a:ext cx="3030" cy="403"/>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27A748B">
                              <w:pPr>
                                <w:spacing w:line="240" w:lineRule="auto"/>
                                <w:ind w:firstLine="0" w:firstLineChars="0"/>
                                <w:jc w:val="center"/>
                                <w:rPr>
                                  <w:rFonts w:ascii="Times New Roman" w:hAnsi="Times New Roman" w:eastAsia="宋体" w:cs="Times New Roman"/>
                                  <w:sz w:val="21"/>
                                </w:rPr>
                              </w:pPr>
                              <w:r>
                                <w:rPr>
                                  <w:rFonts w:hint="eastAsia" w:ascii="Times New Roman" w:hAnsi="Times New Roman" w:eastAsia="宋体" w:cs="Times New Roman"/>
                                  <w:sz w:val="21"/>
                                </w:rPr>
                                <w:t>做出安全现状评价结论</w:t>
                              </w:r>
                            </w:p>
                          </w:txbxContent>
                        </wps:txbx>
                        <wps:bodyPr upright="1"/>
                      </wps:wsp>
                      <wps:wsp>
                        <wps:cNvPr id="25" name="文本框 25"/>
                        <wps:cNvSpPr txBox="1"/>
                        <wps:spPr>
                          <a:xfrm>
                            <a:off x="4566" y="14812"/>
                            <a:ext cx="3030" cy="402"/>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58244EC">
                              <w:pPr>
                                <w:spacing w:line="240" w:lineRule="auto"/>
                                <w:ind w:firstLine="0" w:firstLineChars="0"/>
                                <w:jc w:val="center"/>
                                <w:rPr>
                                  <w:rFonts w:ascii="Times New Roman" w:hAnsi="Times New Roman" w:eastAsia="宋体" w:cs="Times New Roman"/>
                                  <w:sz w:val="21"/>
                                </w:rPr>
                              </w:pPr>
                              <w:r>
                                <w:rPr>
                                  <w:rFonts w:hint="eastAsia" w:ascii="Times New Roman" w:hAnsi="Times New Roman" w:eastAsia="宋体" w:cs="Times New Roman"/>
                                  <w:sz w:val="21"/>
                                </w:rPr>
                                <w:t>编制安全现状评价报告</w:t>
                              </w:r>
                            </w:p>
                          </w:txbxContent>
                        </wps:txbx>
                        <wps:bodyPr upright="1"/>
                      </wps:wsp>
                      <wps:wsp>
                        <wps:cNvPr id="26" name="直接连接符 26"/>
                        <wps:cNvCnPr/>
                        <wps:spPr>
                          <a:xfrm>
                            <a:off x="6066" y="7179"/>
                            <a:ext cx="0" cy="701"/>
                          </a:xfrm>
                          <a:prstGeom prst="line">
                            <a:avLst/>
                          </a:prstGeom>
                          <a:ln w="9525" cap="flat" cmpd="sng">
                            <a:solidFill>
                              <a:srgbClr val="000000"/>
                            </a:solidFill>
                            <a:prstDash val="solid"/>
                            <a:headEnd type="none" w="med" len="med"/>
                            <a:tailEnd type="triangle" w="med" len="med"/>
                          </a:ln>
                        </wps:spPr>
                        <wps:bodyPr upright="1"/>
                      </wps:wsp>
                      <wps:wsp>
                        <wps:cNvPr id="27" name="直接连接符 27"/>
                        <wps:cNvCnPr/>
                        <wps:spPr>
                          <a:xfrm>
                            <a:off x="6066" y="8283"/>
                            <a:ext cx="0" cy="805"/>
                          </a:xfrm>
                          <a:prstGeom prst="line">
                            <a:avLst/>
                          </a:prstGeom>
                          <a:ln w="9525" cap="flat" cmpd="sng">
                            <a:solidFill>
                              <a:srgbClr val="000000"/>
                            </a:solidFill>
                            <a:prstDash val="solid"/>
                            <a:headEnd type="none" w="med" len="med"/>
                            <a:tailEnd type="triangle" w="med" len="med"/>
                          </a:ln>
                        </wps:spPr>
                        <wps:bodyPr upright="1"/>
                      </wps:wsp>
                      <wps:wsp>
                        <wps:cNvPr id="28" name="直接连接符 28"/>
                        <wps:cNvCnPr/>
                        <wps:spPr>
                          <a:xfrm>
                            <a:off x="6080" y="9490"/>
                            <a:ext cx="0" cy="701"/>
                          </a:xfrm>
                          <a:prstGeom prst="line">
                            <a:avLst/>
                          </a:prstGeom>
                          <a:ln w="9525" cap="flat" cmpd="sng">
                            <a:solidFill>
                              <a:srgbClr val="000000"/>
                            </a:solidFill>
                            <a:prstDash val="solid"/>
                            <a:headEnd type="none" w="med" len="med"/>
                            <a:tailEnd type="triangle" w="med" len="med"/>
                          </a:ln>
                        </wps:spPr>
                        <wps:bodyPr upright="1"/>
                      </wps:wsp>
                      <wps:wsp>
                        <wps:cNvPr id="29" name="直接连接符 29"/>
                        <wps:cNvCnPr/>
                        <wps:spPr>
                          <a:xfrm>
                            <a:off x="6080" y="10593"/>
                            <a:ext cx="0" cy="792"/>
                          </a:xfrm>
                          <a:prstGeom prst="line">
                            <a:avLst/>
                          </a:prstGeom>
                          <a:ln w="9525" cap="flat" cmpd="sng">
                            <a:solidFill>
                              <a:srgbClr val="000000"/>
                            </a:solidFill>
                            <a:prstDash val="solid"/>
                            <a:headEnd type="none" w="med" len="med"/>
                            <a:tailEnd type="triangle" w="med" len="med"/>
                          </a:ln>
                        </wps:spPr>
                        <wps:bodyPr upright="1"/>
                      </wps:wsp>
                      <wps:wsp>
                        <wps:cNvPr id="30" name="直接连接符 30"/>
                        <wps:cNvCnPr/>
                        <wps:spPr>
                          <a:xfrm>
                            <a:off x="6080" y="11787"/>
                            <a:ext cx="0" cy="701"/>
                          </a:xfrm>
                          <a:prstGeom prst="line">
                            <a:avLst/>
                          </a:prstGeom>
                          <a:ln w="9525" cap="flat" cmpd="sng">
                            <a:solidFill>
                              <a:srgbClr val="000000"/>
                            </a:solidFill>
                            <a:prstDash val="solid"/>
                            <a:headEnd type="none" w="med" len="med"/>
                            <a:tailEnd type="triangle" w="med" len="med"/>
                          </a:ln>
                        </wps:spPr>
                        <wps:bodyPr upright="1"/>
                      </wps:wsp>
                      <wps:wsp>
                        <wps:cNvPr id="31" name="直接连接符 31"/>
                        <wps:cNvCnPr/>
                        <wps:spPr>
                          <a:xfrm>
                            <a:off x="6066" y="12891"/>
                            <a:ext cx="0" cy="804"/>
                          </a:xfrm>
                          <a:prstGeom prst="line">
                            <a:avLst/>
                          </a:prstGeom>
                          <a:ln w="9525" cap="flat" cmpd="sng">
                            <a:solidFill>
                              <a:srgbClr val="000000"/>
                            </a:solidFill>
                            <a:prstDash val="solid"/>
                            <a:headEnd type="none" w="med" len="med"/>
                            <a:tailEnd type="triangle" w="med" len="med"/>
                          </a:ln>
                        </wps:spPr>
                        <wps:bodyPr upright="1"/>
                      </wps:wsp>
                      <wps:wsp>
                        <wps:cNvPr id="32" name="直接连接符 32"/>
                        <wps:cNvCnPr/>
                        <wps:spPr>
                          <a:xfrm>
                            <a:off x="6066" y="14098"/>
                            <a:ext cx="0" cy="701"/>
                          </a:xfrm>
                          <a:prstGeom prst="line">
                            <a:avLst/>
                          </a:prstGeom>
                          <a:ln w="9525" cap="flat" cmpd="sng">
                            <a:solidFill>
                              <a:srgbClr val="000000"/>
                            </a:solidFill>
                            <a:prstDash val="solid"/>
                            <a:headEnd type="none" w="med" len="med"/>
                            <a:tailEnd type="triangle" w="med" len="med"/>
                          </a:ln>
                        </wps:spPr>
                        <wps:bodyPr upright="1"/>
                      </wps:wsp>
                    </wpg:wgp>
                  </a:graphicData>
                </a:graphic>
              </wp:inline>
            </w:drawing>
          </mc:Choice>
          <mc:Fallback>
            <w:pict>
              <v:group id="_x0000_s1026" o:spid="_x0000_s1026" o:spt="203" style="height:414.3pt;width:190.7pt;" coordorigin="4566,6790" coordsize="3030,8424" o:gfxdata="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">
                <o:lock v:ext="edit" aspectratio="f"/>
                <v:shape id="_x0000_s1026" o:spid="_x0000_s1026" o:spt="202" type="#_x0000_t202" style="position:absolute;left:4566;top:6790;height:402;width:3030;" fillcolor="#FFFFFF" filled="t" stroked="t" coordsize="21600,21600" o:gfxdata="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zLT37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278E28FF">
                        <w:pPr>
                          <w:spacing w:line="240" w:lineRule="auto"/>
                          <w:ind w:firstLine="0" w:firstLineChars="0"/>
                          <w:jc w:val="center"/>
                          <w:rPr>
                            <w:rFonts w:ascii="Times New Roman" w:hAnsi="Times New Roman" w:eastAsia="宋体" w:cs="Times New Roman"/>
                            <w:sz w:val="21"/>
                          </w:rPr>
                        </w:pPr>
                        <w:r>
                          <w:rPr>
                            <w:rFonts w:hint="eastAsia" w:ascii="Times New Roman" w:hAnsi="Times New Roman" w:eastAsia="宋体" w:cs="Times New Roman"/>
                            <w:sz w:val="21"/>
                          </w:rPr>
                          <w:t>前期准备</w:t>
                        </w:r>
                      </w:p>
                    </w:txbxContent>
                  </v:textbox>
                </v:shape>
                <v:shape id="_x0000_s1026" o:spid="_x0000_s1026" o:spt="202" type="#_x0000_t202" style="position:absolute;left:4566;top:7893;height:403;width:3030;" fillcolor="#FFFFFF" filled="t" stroked="t" coordsize="21600,21600" o:gfxdata="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h+dkS8AAAA&#10;2w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1DBDD99A">
                        <w:pPr>
                          <w:spacing w:line="240" w:lineRule="auto"/>
                          <w:ind w:firstLine="0" w:firstLineChars="0"/>
                          <w:jc w:val="center"/>
                          <w:rPr>
                            <w:rFonts w:ascii="Times New Roman" w:hAnsi="Times New Roman" w:eastAsia="宋体" w:cs="Times New Roman"/>
                            <w:sz w:val="21"/>
                          </w:rPr>
                        </w:pPr>
                        <w:r>
                          <w:rPr>
                            <w:rFonts w:hint="eastAsia" w:ascii="Times New Roman" w:hAnsi="Times New Roman" w:eastAsia="宋体" w:cs="Times New Roman"/>
                            <w:sz w:val="21"/>
                          </w:rPr>
                          <w:t>辩识与分析危险、有害因素</w:t>
                        </w:r>
                      </w:p>
                    </w:txbxContent>
                  </v:textbox>
                </v:shape>
                <v:shape id="_x0000_s1026" o:spid="_x0000_s1026" o:spt="202" type="#_x0000_t202" style="position:absolute;left:4566;top:9100;height:403;width:3030;" fillcolor="#FFFFFF" filled="t" stroked="t" coordsize="21600,21600" o:gfxdata="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3KBVk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14:paraId="2755F645">
                        <w:pPr>
                          <w:spacing w:line="240" w:lineRule="auto"/>
                          <w:ind w:firstLine="0" w:firstLineChars="0"/>
                          <w:jc w:val="center"/>
                          <w:rPr>
                            <w:rFonts w:ascii="Times New Roman" w:hAnsi="Times New Roman" w:eastAsia="宋体" w:cs="Times New Roman"/>
                            <w:sz w:val="21"/>
                          </w:rPr>
                        </w:pPr>
                        <w:r>
                          <w:rPr>
                            <w:rFonts w:hint="eastAsia" w:ascii="Times New Roman" w:hAnsi="Times New Roman" w:eastAsia="宋体" w:cs="Times New Roman"/>
                            <w:sz w:val="21"/>
                          </w:rPr>
                          <w:t>划分评价单元</w:t>
                        </w:r>
                      </w:p>
                    </w:txbxContent>
                  </v:textbox>
                </v:shape>
                <v:shape id="_x0000_s1026" o:spid="_x0000_s1026" o:spt="202" type="#_x0000_t202" style="position:absolute;left:4566;top:10204;height:402;width:3030;" fillcolor="#FFFFFF" filled="t" stroked="t" coordsize="21600,21600" o:gfxdata="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GSw/7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1B74D74D">
                        <w:pPr>
                          <w:spacing w:line="240" w:lineRule="auto"/>
                          <w:ind w:firstLine="0" w:firstLineChars="0"/>
                          <w:jc w:val="center"/>
                          <w:rPr>
                            <w:rFonts w:ascii="Times New Roman" w:hAnsi="Times New Roman" w:eastAsia="宋体" w:cs="Times New Roman"/>
                            <w:sz w:val="21"/>
                          </w:rPr>
                        </w:pPr>
                        <w:r>
                          <w:rPr>
                            <w:rFonts w:hint="eastAsia" w:ascii="Times New Roman" w:hAnsi="Times New Roman" w:eastAsia="宋体" w:cs="Times New Roman"/>
                            <w:sz w:val="21"/>
                          </w:rPr>
                          <w:t>选择评价方法</w:t>
                        </w:r>
                      </w:p>
                    </w:txbxContent>
                  </v:textbox>
                </v:shape>
                <v:shape id="_x0000_s1026" o:spid="_x0000_s1026" o:spt="202" type="#_x0000_t202" style="position:absolute;left:4566;top:11398;height:402;width:3030;" fillcolor="#FFFFFF" filled="t" stroked="t" coordsize="21600,21600" o:gfxdata="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LYuiL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7F1FE9DF">
                        <w:pPr>
                          <w:spacing w:line="240" w:lineRule="auto"/>
                          <w:ind w:firstLine="0" w:firstLineChars="0"/>
                          <w:jc w:val="center"/>
                          <w:rPr>
                            <w:rFonts w:ascii="Times New Roman" w:hAnsi="Times New Roman" w:eastAsia="宋体" w:cs="Times New Roman"/>
                            <w:sz w:val="21"/>
                          </w:rPr>
                        </w:pPr>
                        <w:r>
                          <w:rPr>
                            <w:rFonts w:hint="eastAsia" w:ascii="Times New Roman" w:hAnsi="Times New Roman" w:eastAsia="宋体" w:cs="Times New Roman"/>
                            <w:sz w:val="21"/>
                          </w:rPr>
                          <w:t>定性定量评价</w:t>
                        </w:r>
                      </w:p>
                    </w:txbxContent>
                  </v:textbox>
                </v:shape>
                <v:shape id="_x0000_s1026" o:spid="_x0000_s1026" o:spt="202" type="#_x0000_t202" style="position:absolute;left:4566;top:12501;height:403;width:3030;" fillcolor="#FFFFFF" filled="t" stroked="t" coordsize="21600,21600" o:gfxdata="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H+osT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3B9CCBDA">
                        <w:pPr>
                          <w:spacing w:line="240" w:lineRule="auto"/>
                          <w:ind w:firstLine="0" w:firstLineChars="0"/>
                          <w:jc w:val="center"/>
                          <w:rPr>
                            <w:rFonts w:ascii="Times New Roman" w:hAnsi="Times New Roman" w:eastAsia="宋体" w:cs="Times New Roman"/>
                            <w:sz w:val="21"/>
                          </w:rPr>
                        </w:pPr>
                        <w:r>
                          <w:rPr>
                            <w:rFonts w:hint="eastAsia" w:ascii="Times New Roman" w:hAnsi="Times New Roman" w:eastAsia="宋体" w:cs="Times New Roman"/>
                            <w:sz w:val="21"/>
                          </w:rPr>
                          <w:t>提出安全对策措施建议</w:t>
                        </w:r>
                      </w:p>
                    </w:txbxContent>
                  </v:textbox>
                </v:shape>
                <v:shape id="_x0000_s1026" o:spid="_x0000_s1026" o:spt="202" type="#_x0000_t202" style="position:absolute;left:4566;top:13708;height:403;width:3030;" fillcolor="#FFFFFF" filled="t" stroked="t" coordsize="21600,21600" o:gfxdata="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gTE2e/&#10;AAAA2w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127A748B">
                        <w:pPr>
                          <w:spacing w:line="240" w:lineRule="auto"/>
                          <w:ind w:firstLine="0" w:firstLineChars="0"/>
                          <w:jc w:val="center"/>
                          <w:rPr>
                            <w:rFonts w:ascii="Times New Roman" w:hAnsi="Times New Roman" w:eastAsia="宋体" w:cs="Times New Roman"/>
                            <w:sz w:val="21"/>
                          </w:rPr>
                        </w:pPr>
                        <w:r>
                          <w:rPr>
                            <w:rFonts w:hint="eastAsia" w:ascii="Times New Roman" w:hAnsi="Times New Roman" w:eastAsia="宋体" w:cs="Times New Roman"/>
                            <w:sz w:val="21"/>
                          </w:rPr>
                          <w:t>做出安全现状评价结论</w:t>
                        </w:r>
                      </w:p>
                    </w:txbxContent>
                  </v:textbox>
                </v:shape>
                <v:shape id="_x0000_s1026" o:spid="_x0000_s1026" o:spt="202" type="#_x0000_t202" style="position:absolute;left:4566;top:14812;height:402;width:3030;" fillcolor="#FFFFFF" filled="t" stroked="t" coordsize="21600,21600" o:gfxdata="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X7b8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658244EC">
                        <w:pPr>
                          <w:spacing w:line="240" w:lineRule="auto"/>
                          <w:ind w:firstLine="0" w:firstLineChars="0"/>
                          <w:jc w:val="center"/>
                          <w:rPr>
                            <w:rFonts w:ascii="Times New Roman" w:hAnsi="Times New Roman" w:eastAsia="宋体" w:cs="Times New Roman"/>
                            <w:sz w:val="21"/>
                          </w:rPr>
                        </w:pPr>
                        <w:r>
                          <w:rPr>
                            <w:rFonts w:hint="eastAsia" w:ascii="Times New Roman" w:hAnsi="Times New Roman" w:eastAsia="宋体" w:cs="Times New Roman"/>
                            <w:sz w:val="21"/>
                          </w:rPr>
                          <w:t>编制安全现状评价报告</w:t>
                        </w:r>
                      </w:p>
                    </w:txbxContent>
                  </v:textbox>
                </v:shape>
                <v:line id="_x0000_s1026" o:spid="_x0000_s1026" o:spt="20" style="position:absolute;left:6066;top:7179;height:701;width:0;" filled="f" stroked="t" coordsize="21600,21600" o:gfxdata="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2AL+b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line id="_x0000_s1026" o:spid="_x0000_s1026" o:spt="20" style="position:absolute;left:6066;top:8283;height:805;width:0;" filled="f" stroked="t" coordsize="21600,21600" o:gfxdata="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gsrmK/&#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_x0000_s1026" o:spid="_x0000_s1026" o:spt="20" style="position:absolute;left:6080;top:9490;height:701;width:0;" filled="f" stroked="t" coordsize="21600,21600" o:gfxdata="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mzOhC8AAAA&#10;2w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line>
                <v:line id="_x0000_s1026" o:spid="_x0000_s1026" o:spt="20" style="position:absolute;left:6080;top:10593;height:792;width:0;" filled="f" stroked="t" coordsize="21600,21600" o:gfxdata="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b/n4u/&#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_x0000_s1026" o:spid="_x0000_s1026" o:spt="20" style="position:absolute;left:6080;top:11787;height:701;width:0;" filled="f" stroked="t" coordsize="21600,21600" o:gfxdata="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hygy7sAAADb&#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line>
                <v:line id="_x0000_s1026" o:spid="_x0000_s1026" o:spt="20" style="position:absolute;left:6066;top:12891;height:804;width:0;" filled="f" stroked="t" coordsize="21600,21600" o:gfxdata="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VAFUL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line id="_x0000_s1026" o:spid="_x0000_s1026" o:spt="20" style="position:absolute;left:6066;top:14098;height:701;width:0;" filled="f" stroked="t" coordsize="21600,21600" o:gfxdata="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2Cmye/&#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w10:wrap type="none"/>
                <w10:anchorlock/>
              </v:group>
            </w:pict>
          </mc:Fallback>
        </mc:AlternateContent>
      </w:r>
    </w:p>
    <w:p w14:paraId="6014A46F">
      <w:pPr>
        <w:bidi w:val="0"/>
        <w:ind w:left="0" w:leftChars="0" w:firstLine="0" w:firstLineChars="0"/>
        <w:jc w:val="center"/>
        <w:rPr>
          <w:rFonts w:hint="default"/>
          <w:color w:val="auto"/>
          <w:lang w:val="en-US" w:eastAsia="zh-CN"/>
        </w:rPr>
      </w:pPr>
      <w:r>
        <w:rPr>
          <w:rFonts w:hint="default"/>
          <w:color w:val="auto"/>
          <w:lang w:val="en-US" w:eastAsia="zh-CN"/>
        </w:rPr>
        <w:t>图1</w:t>
      </w:r>
      <w:r>
        <w:rPr>
          <w:rFonts w:hint="eastAsia"/>
          <w:color w:val="auto"/>
          <w:lang w:val="en-US" w:eastAsia="zh-CN"/>
        </w:rPr>
        <w:t>.4</w:t>
      </w:r>
      <w:r>
        <w:rPr>
          <w:rFonts w:hint="default"/>
          <w:color w:val="auto"/>
          <w:lang w:val="en-US" w:eastAsia="zh-CN"/>
        </w:rPr>
        <w:t>-1</w:t>
      </w:r>
      <w:r>
        <w:rPr>
          <w:rFonts w:hint="eastAsia"/>
          <w:color w:val="auto"/>
          <w:lang w:val="en-US" w:eastAsia="zh-CN"/>
        </w:rPr>
        <w:t xml:space="preserve"> </w:t>
      </w:r>
      <w:r>
        <w:rPr>
          <w:rFonts w:hint="default"/>
          <w:color w:val="auto"/>
          <w:lang w:val="en-US" w:eastAsia="zh-CN"/>
        </w:rPr>
        <w:t>安全现状评价程序框</w:t>
      </w:r>
    </w:p>
    <w:p w14:paraId="7037F7C0">
      <w:pPr>
        <w:bidi w:val="0"/>
        <w:rPr>
          <w:rFonts w:hint="default"/>
          <w:color w:val="auto"/>
          <w:lang w:val="en-US" w:eastAsia="zh-CN"/>
        </w:rPr>
      </w:pPr>
    </w:p>
    <w:p w14:paraId="019DFCC8">
      <w:pPr>
        <w:rPr>
          <w:rFonts w:hint="default"/>
          <w:color w:val="auto"/>
          <w:lang w:val="en-US" w:eastAsia="zh-CN"/>
        </w:rPr>
      </w:pPr>
      <w:r>
        <w:rPr>
          <w:rFonts w:hint="default"/>
          <w:color w:val="auto"/>
          <w:lang w:val="en-US" w:eastAsia="zh-CN"/>
        </w:rPr>
        <w:br w:type="page"/>
      </w:r>
    </w:p>
    <w:p w14:paraId="410F0E54">
      <w:pPr>
        <w:pStyle w:val="2"/>
        <w:numPr>
          <w:ilvl w:val="0"/>
          <w:numId w:val="1"/>
        </w:numPr>
        <w:bidi w:val="0"/>
        <w:ind w:left="0" w:leftChars="0" w:firstLine="0" w:firstLineChars="0"/>
        <w:rPr>
          <w:rFonts w:hint="default" w:ascii="Times New Roman" w:hAnsi="Times New Roman" w:cs="Times New Roman"/>
          <w:color w:val="auto"/>
          <w:lang w:val="en-US" w:eastAsia="zh-CN"/>
        </w:rPr>
      </w:pPr>
      <w:bookmarkStart w:id="53" w:name="_Toc12098"/>
      <w:bookmarkStart w:id="54" w:name="_Toc31181"/>
      <w:bookmarkStart w:id="55" w:name="_Toc15908"/>
      <w:r>
        <w:rPr>
          <w:rFonts w:hint="default" w:ascii="Times New Roman" w:hAnsi="Times New Roman" w:cs="Times New Roman"/>
          <w:color w:val="auto"/>
          <w:lang w:val="en-US" w:eastAsia="zh-CN"/>
        </w:rPr>
        <w:t>项目概况</w:t>
      </w:r>
      <w:bookmarkEnd w:id="53"/>
      <w:bookmarkEnd w:id="54"/>
      <w:bookmarkEnd w:id="55"/>
    </w:p>
    <w:p w14:paraId="4C2AF841">
      <w:pPr>
        <w:pStyle w:val="3"/>
        <w:bidi w:val="0"/>
        <w:rPr>
          <w:rFonts w:hint="default"/>
          <w:color w:val="auto"/>
          <w:lang w:val="en-US" w:eastAsia="zh-CN"/>
        </w:rPr>
      </w:pPr>
      <w:bookmarkStart w:id="56" w:name="_Toc19465"/>
      <w:bookmarkStart w:id="57" w:name="_Toc13954"/>
      <w:bookmarkStart w:id="58" w:name="_Toc4288"/>
      <w:r>
        <w:rPr>
          <w:rFonts w:hint="default"/>
          <w:color w:val="auto"/>
          <w:lang w:val="en-US" w:eastAsia="zh-CN"/>
        </w:rPr>
        <w:t>2.1</w:t>
      </w:r>
      <w:r>
        <w:rPr>
          <w:rFonts w:hint="eastAsia"/>
          <w:color w:val="auto"/>
          <w:lang w:val="en-US" w:eastAsia="zh-CN"/>
        </w:rPr>
        <w:t xml:space="preserve"> </w:t>
      </w:r>
      <w:r>
        <w:rPr>
          <w:rFonts w:hint="default"/>
          <w:color w:val="auto"/>
          <w:lang w:val="en-US" w:eastAsia="zh-CN"/>
        </w:rPr>
        <w:t>建设单位概况</w:t>
      </w:r>
      <w:bookmarkEnd w:id="56"/>
      <w:bookmarkEnd w:id="57"/>
      <w:bookmarkEnd w:id="58"/>
    </w:p>
    <w:p w14:paraId="45572B3C">
      <w:pPr>
        <w:pStyle w:val="4"/>
        <w:bidi w:val="0"/>
        <w:rPr>
          <w:rFonts w:hint="default"/>
          <w:color w:val="auto"/>
          <w:lang w:val="en-US" w:eastAsia="zh-CN"/>
        </w:rPr>
      </w:pPr>
      <w:bookmarkStart w:id="59" w:name="_Toc22574"/>
      <w:bookmarkStart w:id="60" w:name="_Toc15266"/>
      <w:bookmarkStart w:id="61" w:name="_Toc24664"/>
      <w:r>
        <w:rPr>
          <w:rFonts w:hint="default"/>
          <w:color w:val="auto"/>
          <w:lang w:val="en-US" w:eastAsia="zh-CN"/>
        </w:rPr>
        <w:t>2.1.1</w:t>
      </w:r>
      <w:r>
        <w:rPr>
          <w:rFonts w:hint="eastAsia"/>
          <w:color w:val="auto"/>
          <w:lang w:val="en-US" w:eastAsia="zh-CN"/>
        </w:rPr>
        <w:t xml:space="preserve"> </w:t>
      </w:r>
      <w:r>
        <w:rPr>
          <w:rFonts w:hint="default"/>
          <w:color w:val="auto"/>
          <w:lang w:val="en-US" w:eastAsia="zh-CN"/>
        </w:rPr>
        <w:t>建设单位简介及项目</w:t>
      </w:r>
      <w:r>
        <w:rPr>
          <w:rFonts w:hint="eastAsia"/>
          <w:color w:val="auto"/>
          <w:lang w:val="en-US" w:eastAsia="zh-CN"/>
        </w:rPr>
        <w:t>情况</w:t>
      </w:r>
      <w:bookmarkEnd w:id="59"/>
      <w:bookmarkEnd w:id="60"/>
      <w:bookmarkEnd w:id="61"/>
    </w:p>
    <w:p w14:paraId="590DE7D4">
      <w:pPr>
        <w:bidi w:val="0"/>
        <w:rPr>
          <w:rFonts w:hint="default"/>
          <w:color w:val="auto"/>
          <w:lang w:val="en-US" w:eastAsia="zh-CN"/>
        </w:rPr>
      </w:pPr>
      <w:r>
        <w:rPr>
          <w:rFonts w:hint="eastAsia"/>
          <w:color w:val="auto"/>
          <w:lang w:val="en-US" w:eastAsia="zh-CN"/>
        </w:rPr>
        <w:t>1. 建设单位简介</w:t>
      </w:r>
    </w:p>
    <w:p w14:paraId="1C362F0D">
      <w:pPr>
        <w:bidi w:val="0"/>
        <w:rPr>
          <w:rFonts w:hint="eastAsia"/>
          <w:color w:val="auto"/>
          <w:lang w:val="en-US" w:eastAsia="zh-CN"/>
        </w:rPr>
      </w:pPr>
      <w:r>
        <w:rPr>
          <w:rFonts w:hint="eastAsia"/>
          <w:color w:val="auto"/>
          <w:lang w:val="en-US" w:eastAsia="zh-CN"/>
        </w:rPr>
        <w:t>江西省坤育矿业有限公司成立于2017年9月14日，类型：有限责任公司（自然人投资或控股），统一社会信用代码：91360426MA369CBQ2R，经营范围为：石灰石、石膏开采；建筑装饰用石开采；粘土及其他土砂石开采、加工、销售；建筑工程机械与设备租赁（依法须经批准的项目，经相关部门批准后方可开展经营活动）。</w:t>
      </w:r>
    </w:p>
    <w:p w14:paraId="02E3366C">
      <w:pPr>
        <w:ind w:left="0" w:leftChars="0" w:firstLine="0" w:firstLineChars="0"/>
        <w:jc w:val="center"/>
        <w:rPr>
          <w:rFonts w:hint="eastAsia"/>
          <w:color w:val="auto"/>
          <w:lang w:val="en-US" w:eastAsia="zh-CN"/>
        </w:rPr>
      </w:pPr>
      <w:r>
        <w:rPr>
          <w:rFonts w:hint="eastAsia"/>
          <w:color w:val="auto"/>
          <w:lang w:val="en-US" w:eastAsia="zh-CN"/>
        </w:rPr>
        <w:t>表2.1-1 企业基本情况</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49"/>
        <w:gridCol w:w="1904"/>
        <w:gridCol w:w="2042"/>
        <w:gridCol w:w="1316"/>
        <w:gridCol w:w="1177"/>
        <w:gridCol w:w="1400"/>
      </w:tblGrid>
      <w:tr w14:paraId="114A2E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9" w:hRule="atLeast"/>
          <w:jc w:val="center"/>
        </w:trPr>
        <w:tc>
          <w:tcPr>
            <w:tcW w:w="1449" w:type="dxa"/>
            <w:vAlign w:val="center"/>
          </w:tcPr>
          <w:p w14:paraId="4E81205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企业名称</w:t>
            </w:r>
          </w:p>
        </w:tc>
        <w:tc>
          <w:tcPr>
            <w:tcW w:w="3946" w:type="dxa"/>
            <w:gridSpan w:val="2"/>
            <w:vAlign w:val="center"/>
          </w:tcPr>
          <w:p w14:paraId="673836C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江西省坤育矿业有限公司</w:t>
            </w:r>
          </w:p>
        </w:tc>
        <w:tc>
          <w:tcPr>
            <w:tcW w:w="1316" w:type="dxa"/>
            <w:vAlign w:val="center"/>
          </w:tcPr>
          <w:p w14:paraId="02A9D86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矿山名称</w:t>
            </w:r>
          </w:p>
        </w:tc>
        <w:tc>
          <w:tcPr>
            <w:tcW w:w="2577" w:type="dxa"/>
            <w:gridSpan w:val="2"/>
            <w:vAlign w:val="center"/>
          </w:tcPr>
          <w:p w14:paraId="1F6621D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德安县聂桥镇刘家山矿区建筑用辉绿岩矿</w:t>
            </w:r>
          </w:p>
        </w:tc>
      </w:tr>
      <w:tr w14:paraId="362A8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5" w:hRule="atLeast"/>
          <w:jc w:val="center"/>
        </w:trPr>
        <w:tc>
          <w:tcPr>
            <w:tcW w:w="1449" w:type="dxa"/>
            <w:vAlign w:val="center"/>
          </w:tcPr>
          <w:p w14:paraId="59BCDEC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企业地址</w:t>
            </w:r>
          </w:p>
        </w:tc>
        <w:tc>
          <w:tcPr>
            <w:tcW w:w="3946" w:type="dxa"/>
            <w:gridSpan w:val="2"/>
            <w:vAlign w:val="center"/>
          </w:tcPr>
          <w:p w14:paraId="628B84D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江西省九江市</w:t>
            </w:r>
            <w:r>
              <w:rPr>
                <w:rFonts w:hint="default"/>
                <w:color w:val="auto"/>
                <w:sz w:val="21"/>
                <w:szCs w:val="21"/>
                <w:vertAlign w:val="baseline"/>
                <w:lang w:val="en-US" w:eastAsia="zh-CN"/>
              </w:rPr>
              <w:t>德安县聂桥</w:t>
            </w:r>
            <w:r>
              <w:rPr>
                <w:rFonts w:hint="eastAsia"/>
                <w:color w:val="auto"/>
                <w:sz w:val="21"/>
                <w:szCs w:val="21"/>
                <w:vertAlign w:val="baseline"/>
                <w:lang w:val="en-US" w:eastAsia="zh-CN"/>
              </w:rPr>
              <w:t>镇</w:t>
            </w:r>
            <w:r>
              <w:rPr>
                <w:rFonts w:hint="default"/>
                <w:color w:val="auto"/>
                <w:sz w:val="21"/>
                <w:szCs w:val="21"/>
                <w:vertAlign w:val="baseline"/>
                <w:lang w:val="en-US" w:eastAsia="zh-CN"/>
              </w:rPr>
              <w:t>聂桥</w:t>
            </w:r>
            <w:r>
              <w:rPr>
                <w:rFonts w:hint="eastAsia"/>
                <w:color w:val="auto"/>
                <w:sz w:val="21"/>
                <w:szCs w:val="21"/>
                <w:vertAlign w:val="baseline"/>
                <w:lang w:val="en-US" w:eastAsia="zh-CN"/>
              </w:rPr>
              <w:t>村九组</w:t>
            </w:r>
          </w:p>
        </w:tc>
        <w:tc>
          <w:tcPr>
            <w:tcW w:w="1316" w:type="dxa"/>
            <w:vAlign w:val="center"/>
          </w:tcPr>
          <w:p w14:paraId="670E0EB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矿山地址</w:t>
            </w:r>
          </w:p>
        </w:tc>
        <w:tc>
          <w:tcPr>
            <w:tcW w:w="2577" w:type="dxa"/>
            <w:gridSpan w:val="2"/>
            <w:vAlign w:val="center"/>
          </w:tcPr>
          <w:p w14:paraId="16A7D76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江西省九江市</w:t>
            </w:r>
            <w:r>
              <w:rPr>
                <w:rFonts w:hint="default"/>
                <w:color w:val="auto"/>
                <w:sz w:val="21"/>
                <w:szCs w:val="21"/>
                <w:vertAlign w:val="baseline"/>
                <w:lang w:val="en-US" w:eastAsia="zh-CN"/>
              </w:rPr>
              <w:t>德安县聂桥</w:t>
            </w:r>
            <w:r>
              <w:rPr>
                <w:rFonts w:hint="eastAsia"/>
                <w:color w:val="auto"/>
                <w:sz w:val="21"/>
                <w:szCs w:val="21"/>
                <w:vertAlign w:val="baseline"/>
                <w:lang w:val="en-US" w:eastAsia="zh-CN"/>
              </w:rPr>
              <w:t>镇</w:t>
            </w:r>
            <w:r>
              <w:rPr>
                <w:rFonts w:hint="default"/>
                <w:color w:val="auto"/>
                <w:sz w:val="21"/>
                <w:szCs w:val="21"/>
                <w:vertAlign w:val="baseline"/>
                <w:lang w:val="en-US" w:eastAsia="zh-CN"/>
              </w:rPr>
              <w:t>聂桥</w:t>
            </w:r>
            <w:r>
              <w:rPr>
                <w:rFonts w:hint="eastAsia"/>
                <w:color w:val="auto"/>
                <w:sz w:val="21"/>
                <w:szCs w:val="21"/>
                <w:vertAlign w:val="baseline"/>
                <w:lang w:val="en-US" w:eastAsia="zh-CN"/>
              </w:rPr>
              <w:t>村九组</w:t>
            </w:r>
          </w:p>
        </w:tc>
      </w:tr>
      <w:tr w14:paraId="0E30D4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449" w:type="dxa"/>
            <w:vAlign w:val="center"/>
          </w:tcPr>
          <w:p w14:paraId="2A98BD8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法人代表</w:t>
            </w:r>
          </w:p>
        </w:tc>
        <w:tc>
          <w:tcPr>
            <w:tcW w:w="3946" w:type="dxa"/>
            <w:gridSpan w:val="2"/>
            <w:vAlign w:val="center"/>
          </w:tcPr>
          <w:p w14:paraId="50981C2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冯俊</w:t>
            </w:r>
          </w:p>
        </w:tc>
        <w:tc>
          <w:tcPr>
            <w:tcW w:w="1316" w:type="dxa"/>
            <w:vAlign w:val="center"/>
          </w:tcPr>
          <w:p w14:paraId="1C27A4E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主要负责人</w:t>
            </w:r>
          </w:p>
        </w:tc>
        <w:tc>
          <w:tcPr>
            <w:tcW w:w="2577" w:type="dxa"/>
            <w:gridSpan w:val="2"/>
            <w:vAlign w:val="center"/>
          </w:tcPr>
          <w:p w14:paraId="2DBF661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沈方楠</w:t>
            </w:r>
          </w:p>
        </w:tc>
      </w:tr>
      <w:tr w14:paraId="5F0117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1449" w:type="dxa"/>
            <w:vAlign w:val="center"/>
          </w:tcPr>
          <w:p w14:paraId="363E699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经济类型</w:t>
            </w:r>
          </w:p>
        </w:tc>
        <w:tc>
          <w:tcPr>
            <w:tcW w:w="3946" w:type="dxa"/>
            <w:gridSpan w:val="2"/>
            <w:vAlign w:val="center"/>
          </w:tcPr>
          <w:p w14:paraId="6A20852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有限责任公司</w:t>
            </w:r>
          </w:p>
        </w:tc>
        <w:tc>
          <w:tcPr>
            <w:tcW w:w="1316" w:type="dxa"/>
            <w:vAlign w:val="center"/>
          </w:tcPr>
          <w:p w14:paraId="03844D5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建矿时间</w:t>
            </w:r>
          </w:p>
        </w:tc>
        <w:tc>
          <w:tcPr>
            <w:tcW w:w="2577" w:type="dxa"/>
            <w:gridSpan w:val="2"/>
            <w:vAlign w:val="center"/>
          </w:tcPr>
          <w:p w14:paraId="06C8738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2017年9月</w:t>
            </w:r>
          </w:p>
        </w:tc>
      </w:tr>
      <w:tr w14:paraId="478575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449" w:type="dxa"/>
            <w:vAlign w:val="center"/>
          </w:tcPr>
          <w:p w14:paraId="5A2BABF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开采矿种</w:t>
            </w:r>
          </w:p>
        </w:tc>
        <w:tc>
          <w:tcPr>
            <w:tcW w:w="1904" w:type="dxa"/>
            <w:vAlign w:val="center"/>
          </w:tcPr>
          <w:p w14:paraId="7323359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建筑石料用辉绿岩</w:t>
            </w:r>
          </w:p>
        </w:tc>
        <w:tc>
          <w:tcPr>
            <w:tcW w:w="2042" w:type="dxa"/>
            <w:vAlign w:val="center"/>
          </w:tcPr>
          <w:p w14:paraId="3BEFB0B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生产规模</w:t>
            </w:r>
          </w:p>
        </w:tc>
        <w:tc>
          <w:tcPr>
            <w:tcW w:w="1316" w:type="dxa"/>
            <w:vAlign w:val="center"/>
          </w:tcPr>
          <w:p w14:paraId="7830AC8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200万吨/年</w:t>
            </w:r>
          </w:p>
        </w:tc>
        <w:tc>
          <w:tcPr>
            <w:tcW w:w="1177" w:type="dxa"/>
            <w:vAlign w:val="center"/>
          </w:tcPr>
          <w:p w14:paraId="7096113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开采方式</w:t>
            </w:r>
          </w:p>
        </w:tc>
        <w:tc>
          <w:tcPr>
            <w:tcW w:w="1400" w:type="dxa"/>
            <w:vAlign w:val="center"/>
          </w:tcPr>
          <w:p w14:paraId="75CF6E2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露天开采</w:t>
            </w:r>
          </w:p>
        </w:tc>
      </w:tr>
      <w:tr w14:paraId="3F198F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3353" w:type="dxa"/>
            <w:gridSpan w:val="2"/>
            <w:vMerge w:val="restart"/>
            <w:vAlign w:val="center"/>
          </w:tcPr>
          <w:p w14:paraId="3235013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企业营业执照</w:t>
            </w:r>
          </w:p>
        </w:tc>
        <w:tc>
          <w:tcPr>
            <w:tcW w:w="2042" w:type="dxa"/>
            <w:vAlign w:val="center"/>
          </w:tcPr>
          <w:p w14:paraId="7E32544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统一社会信用代码</w:t>
            </w:r>
          </w:p>
        </w:tc>
        <w:tc>
          <w:tcPr>
            <w:tcW w:w="3893" w:type="dxa"/>
            <w:gridSpan w:val="3"/>
            <w:vAlign w:val="center"/>
          </w:tcPr>
          <w:p w14:paraId="088E517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91360426MA369CBQ2R</w:t>
            </w:r>
          </w:p>
        </w:tc>
      </w:tr>
      <w:tr w14:paraId="56484C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3353" w:type="dxa"/>
            <w:gridSpan w:val="2"/>
            <w:vMerge w:val="continue"/>
            <w:vAlign w:val="center"/>
          </w:tcPr>
          <w:p w14:paraId="4A59586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vertAlign w:val="baseline"/>
                <w:lang w:val="en-US" w:eastAsia="zh-CN"/>
              </w:rPr>
            </w:pPr>
          </w:p>
        </w:tc>
        <w:tc>
          <w:tcPr>
            <w:tcW w:w="2042" w:type="dxa"/>
            <w:vAlign w:val="center"/>
          </w:tcPr>
          <w:p w14:paraId="7BFB1E1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发证单位</w:t>
            </w:r>
          </w:p>
        </w:tc>
        <w:tc>
          <w:tcPr>
            <w:tcW w:w="3893" w:type="dxa"/>
            <w:gridSpan w:val="3"/>
            <w:vAlign w:val="center"/>
          </w:tcPr>
          <w:p w14:paraId="5D85BCB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德安县市场监督管理局</w:t>
            </w:r>
          </w:p>
        </w:tc>
      </w:tr>
      <w:tr w14:paraId="73DE1D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3353" w:type="dxa"/>
            <w:gridSpan w:val="2"/>
            <w:vMerge w:val="continue"/>
            <w:vAlign w:val="center"/>
          </w:tcPr>
          <w:p w14:paraId="7F20211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vertAlign w:val="baseline"/>
                <w:lang w:val="en-US" w:eastAsia="zh-CN"/>
              </w:rPr>
            </w:pPr>
          </w:p>
        </w:tc>
        <w:tc>
          <w:tcPr>
            <w:tcW w:w="2042" w:type="dxa"/>
            <w:vAlign w:val="center"/>
          </w:tcPr>
          <w:p w14:paraId="3A52297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成立日期</w:t>
            </w:r>
          </w:p>
        </w:tc>
        <w:tc>
          <w:tcPr>
            <w:tcW w:w="3893" w:type="dxa"/>
            <w:gridSpan w:val="3"/>
            <w:vAlign w:val="center"/>
          </w:tcPr>
          <w:p w14:paraId="2E8C500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2017年09月14日</w:t>
            </w:r>
          </w:p>
        </w:tc>
      </w:tr>
      <w:tr w14:paraId="4CD926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3353" w:type="dxa"/>
            <w:gridSpan w:val="2"/>
            <w:vMerge w:val="restart"/>
            <w:vAlign w:val="center"/>
          </w:tcPr>
          <w:p w14:paraId="14A8507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采矿许可证</w:t>
            </w:r>
          </w:p>
        </w:tc>
        <w:tc>
          <w:tcPr>
            <w:tcW w:w="2042" w:type="dxa"/>
            <w:vAlign w:val="center"/>
          </w:tcPr>
          <w:p w14:paraId="55B7DF7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证号</w:t>
            </w:r>
          </w:p>
        </w:tc>
        <w:tc>
          <w:tcPr>
            <w:tcW w:w="3893" w:type="dxa"/>
            <w:gridSpan w:val="3"/>
            <w:vAlign w:val="center"/>
          </w:tcPr>
          <w:p w14:paraId="4FD2E4A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C3604262018057130146256</w:t>
            </w:r>
          </w:p>
        </w:tc>
      </w:tr>
      <w:tr w14:paraId="6598CD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3353" w:type="dxa"/>
            <w:gridSpan w:val="2"/>
            <w:vMerge w:val="continue"/>
            <w:vAlign w:val="center"/>
          </w:tcPr>
          <w:p w14:paraId="3DBB2D1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vertAlign w:val="baseline"/>
                <w:lang w:val="en-US" w:eastAsia="zh-CN"/>
              </w:rPr>
            </w:pPr>
          </w:p>
        </w:tc>
        <w:tc>
          <w:tcPr>
            <w:tcW w:w="2042" w:type="dxa"/>
            <w:vAlign w:val="center"/>
          </w:tcPr>
          <w:p w14:paraId="28A0951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发证单位</w:t>
            </w:r>
          </w:p>
        </w:tc>
        <w:tc>
          <w:tcPr>
            <w:tcW w:w="3893" w:type="dxa"/>
            <w:gridSpan w:val="3"/>
            <w:vAlign w:val="center"/>
          </w:tcPr>
          <w:p w14:paraId="6A96924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德安县自然资源局</w:t>
            </w:r>
          </w:p>
        </w:tc>
      </w:tr>
      <w:tr w14:paraId="5B04CD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3353" w:type="dxa"/>
            <w:gridSpan w:val="2"/>
            <w:vMerge w:val="continue"/>
            <w:vAlign w:val="center"/>
          </w:tcPr>
          <w:p w14:paraId="3A2A1B0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vertAlign w:val="baseline"/>
                <w:lang w:val="en-US" w:eastAsia="zh-CN"/>
              </w:rPr>
            </w:pPr>
          </w:p>
        </w:tc>
        <w:tc>
          <w:tcPr>
            <w:tcW w:w="2042" w:type="dxa"/>
            <w:vAlign w:val="center"/>
          </w:tcPr>
          <w:p w14:paraId="269B86A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有效期限</w:t>
            </w:r>
          </w:p>
        </w:tc>
        <w:tc>
          <w:tcPr>
            <w:tcW w:w="3893" w:type="dxa"/>
            <w:gridSpan w:val="3"/>
            <w:vAlign w:val="center"/>
          </w:tcPr>
          <w:p w14:paraId="1785878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2031年4月14日</w:t>
            </w:r>
          </w:p>
        </w:tc>
      </w:tr>
      <w:tr w14:paraId="3FEC39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3353" w:type="dxa"/>
            <w:gridSpan w:val="2"/>
            <w:vMerge w:val="restart"/>
            <w:shd w:val="clear" w:color="auto" w:fill="auto"/>
            <w:vAlign w:val="center"/>
          </w:tcPr>
          <w:p w14:paraId="2FAC9A4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安全生产许可证</w:t>
            </w:r>
          </w:p>
        </w:tc>
        <w:tc>
          <w:tcPr>
            <w:tcW w:w="2042" w:type="dxa"/>
            <w:shd w:val="clear" w:color="auto" w:fill="auto"/>
            <w:vAlign w:val="center"/>
          </w:tcPr>
          <w:p w14:paraId="5A7C907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证号</w:t>
            </w:r>
          </w:p>
        </w:tc>
        <w:tc>
          <w:tcPr>
            <w:tcW w:w="3893" w:type="dxa"/>
            <w:gridSpan w:val="3"/>
            <w:shd w:val="clear" w:color="auto" w:fill="auto"/>
            <w:vAlign w:val="center"/>
          </w:tcPr>
          <w:p w14:paraId="53F76CC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w:t>
            </w:r>
            <w:r>
              <w:rPr>
                <w:rFonts w:hint="default" w:ascii="Times New Roman" w:hAnsi="Times New Roman" w:eastAsia="宋体" w:cs="Times New Roman"/>
                <w:color w:val="auto"/>
                <w:kern w:val="2"/>
                <w:sz w:val="21"/>
                <w:szCs w:val="21"/>
                <w:vertAlign w:val="baseline"/>
                <w:lang w:val="en-US" w:eastAsia="zh-CN" w:bidi="ar-SA"/>
              </w:rPr>
              <w:t>赣</w:t>
            </w:r>
            <w:r>
              <w:rPr>
                <w:rFonts w:hint="eastAsia" w:cs="Times New Roman"/>
                <w:color w:val="auto"/>
                <w:kern w:val="2"/>
                <w:sz w:val="21"/>
                <w:szCs w:val="21"/>
                <w:vertAlign w:val="baseline"/>
                <w:lang w:val="en-US" w:eastAsia="zh-CN" w:bidi="ar-SA"/>
              </w:rPr>
              <w:t>）</w:t>
            </w:r>
            <w:r>
              <w:rPr>
                <w:rFonts w:hint="default" w:ascii="Times New Roman" w:hAnsi="Times New Roman" w:eastAsia="宋体" w:cs="Times New Roman"/>
                <w:color w:val="auto"/>
                <w:kern w:val="2"/>
                <w:sz w:val="21"/>
                <w:szCs w:val="21"/>
                <w:vertAlign w:val="baseline"/>
                <w:lang w:val="en-US" w:eastAsia="zh-CN" w:bidi="ar-SA"/>
              </w:rPr>
              <w:t>FM安许证字</w:t>
            </w:r>
            <w:r>
              <w:rPr>
                <w:rFonts w:hint="eastAsia" w:ascii="微软雅黑" w:hAnsi="微软雅黑" w:eastAsia="微软雅黑" w:cs="微软雅黑"/>
                <w:color w:val="auto"/>
                <w:kern w:val="2"/>
                <w:sz w:val="21"/>
                <w:szCs w:val="21"/>
                <w:vertAlign w:val="baseline"/>
                <w:lang w:val="en-US" w:eastAsia="zh-CN" w:bidi="ar-SA"/>
              </w:rPr>
              <w:t>〔</w:t>
            </w:r>
            <w:r>
              <w:rPr>
                <w:rFonts w:hint="default" w:ascii="Times New Roman" w:hAnsi="Times New Roman" w:eastAsia="宋体" w:cs="Times New Roman"/>
                <w:color w:val="auto"/>
                <w:kern w:val="2"/>
                <w:sz w:val="21"/>
                <w:szCs w:val="21"/>
                <w:vertAlign w:val="baseline"/>
                <w:lang w:val="en-US" w:eastAsia="zh-CN" w:bidi="ar-SA"/>
              </w:rPr>
              <w:t>2022</w:t>
            </w:r>
            <w:r>
              <w:rPr>
                <w:rFonts w:hint="eastAsia" w:ascii="微软雅黑" w:hAnsi="微软雅黑" w:eastAsia="微软雅黑" w:cs="微软雅黑"/>
                <w:color w:val="auto"/>
                <w:kern w:val="2"/>
                <w:sz w:val="21"/>
                <w:szCs w:val="21"/>
                <w:vertAlign w:val="baseline"/>
                <w:lang w:val="en-US" w:eastAsia="zh-CN" w:bidi="ar-SA"/>
              </w:rPr>
              <w:t>〕</w:t>
            </w:r>
            <w:r>
              <w:rPr>
                <w:rFonts w:hint="default" w:ascii="Times New Roman" w:hAnsi="Times New Roman" w:eastAsia="宋体" w:cs="Times New Roman"/>
                <w:color w:val="auto"/>
                <w:kern w:val="2"/>
                <w:sz w:val="21"/>
                <w:szCs w:val="21"/>
                <w:vertAlign w:val="baseline"/>
                <w:lang w:val="en-US" w:eastAsia="zh-CN" w:bidi="ar-SA"/>
              </w:rPr>
              <w:t>GF041</w:t>
            </w:r>
            <w:r>
              <w:rPr>
                <w:rFonts w:hint="eastAsia" w:cs="Times New Roman"/>
                <w:color w:val="auto"/>
                <w:kern w:val="2"/>
                <w:sz w:val="21"/>
                <w:szCs w:val="21"/>
                <w:vertAlign w:val="baseline"/>
                <w:lang w:val="en-US" w:eastAsia="zh-CN" w:bidi="ar-SA"/>
              </w:rPr>
              <w:t>号</w:t>
            </w:r>
          </w:p>
        </w:tc>
      </w:tr>
      <w:tr w14:paraId="52886F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3353" w:type="dxa"/>
            <w:gridSpan w:val="2"/>
            <w:vMerge w:val="continue"/>
            <w:shd w:val="clear" w:color="auto" w:fill="auto"/>
            <w:vAlign w:val="center"/>
          </w:tcPr>
          <w:p w14:paraId="26B0020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p>
        </w:tc>
        <w:tc>
          <w:tcPr>
            <w:tcW w:w="2042" w:type="dxa"/>
            <w:shd w:val="clear" w:color="auto" w:fill="auto"/>
            <w:vAlign w:val="center"/>
          </w:tcPr>
          <w:p w14:paraId="4EF3036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发证单位</w:t>
            </w:r>
          </w:p>
        </w:tc>
        <w:tc>
          <w:tcPr>
            <w:tcW w:w="3893" w:type="dxa"/>
            <w:gridSpan w:val="3"/>
            <w:shd w:val="clear" w:color="auto" w:fill="auto"/>
            <w:vAlign w:val="center"/>
          </w:tcPr>
          <w:p w14:paraId="3220BEB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九江市行政审批局</w:t>
            </w:r>
          </w:p>
        </w:tc>
      </w:tr>
      <w:tr w14:paraId="3737CD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3353" w:type="dxa"/>
            <w:gridSpan w:val="2"/>
            <w:vMerge w:val="continue"/>
            <w:shd w:val="clear" w:color="auto" w:fill="auto"/>
            <w:vAlign w:val="center"/>
          </w:tcPr>
          <w:p w14:paraId="634AB97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p>
        </w:tc>
        <w:tc>
          <w:tcPr>
            <w:tcW w:w="2042" w:type="dxa"/>
            <w:shd w:val="clear" w:color="auto" w:fill="auto"/>
            <w:vAlign w:val="center"/>
          </w:tcPr>
          <w:p w14:paraId="552DDAB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有效期限</w:t>
            </w:r>
          </w:p>
        </w:tc>
        <w:tc>
          <w:tcPr>
            <w:tcW w:w="3893" w:type="dxa"/>
            <w:gridSpan w:val="3"/>
            <w:shd w:val="clear" w:color="auto" w:fill="auto"/>
            <w:vAlign w:val="center"/>
          </w:tcPr>
          <w:p w14:paraId="767959B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2025年11月11日</w:t>
            </w:r>
          </w:p>
        </w:tc>
      </w:tr>
      <w:tr w14:paraId="3BC69F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3353" w:type="dxa"/>
            <w:gridSpan w:val="2"/>
            <w:vMerge w:val="restart"/>
            <w:shd w:val="clear" w:color="auto" w:fill="auto"/>
            <w:vAlign w:val="center"/>
          </w:tcPr>
          <w:p w14:paraId="380D199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val="en-US" w:eastAsia="zh-CN" w:bidi="ar-SA"/>
              </w:rPr>
              <w:t>安全生产标准化</w:t>
            </w:r>
          </w:p>
        </w:tc>
        <w:tc>
          <w:tcPr>
            <w:tcW w:w="2042" w:type="dxa"/>
            <w:shd w:val="clear" w:color="auto" w:fill="auto"/>
            <w:vAlign w:val="center"/>
          </w:tcPr>
          <w:p w14:paraId="2ED1CD8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val="en-US" w:eastAsia="zh-CN" w:bidi="ar-SA"/>
              </w:rPr>
              <w:t>等级</w:t>
            </w:r>
          </w:p>
        </w:tc>
        <w:tc>
          <w:tcPr>
            <w:tcW w:w="3893" w:type="dxa"/>
            <w:gridSpan w:val="3"/>
            <w:shd w:val="clear" w:color="auto" w:fill="auto"/>
            <w:vAlign w:val="center"/>
          </w:tcPr>
          <w:p w14:paraId="54BC3DF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val="en-US" w:eastAsia="zh-CN" w:bidi="ar-SA"/>
              </w:rPr>
              <w:t>三级</w:t>
            </w:r>
          </w:p>
        </w:tc>
      </w:tr>
      <w:tr w14:paraId="696BD8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53" w:type="dxa"/>
            <w:gridSpan w:val="2"/>
            <w:vMerge w:val="continue"/>
            <w:shd w:val="clear" w:color="auto" w:fill="auto"/>
            <w:vAlign w:val="center"/>
          </w:tcPr>
          <w:p w14:paraId="0179028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p>
        </w:tc>
        <w:tc>
          <w:tcPr>
            <w:tcW w:w="2042" w:type="dxa"/>
            <w:shd w:val="clear" w:color="auto" w:fill="auto"/>
            <w:vAlign w:val="center"/>
          </w:tcPr>
          <w:p w14:paraId="41545FD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网上公示</w:t>
            </w:r>
          </w:p>
        </w:tc>
        <w:tc>
          <w:tcPr>
            <w:tcW w:w="3893" w:type="dxa"/>
            <w:gridSpan w:val="3"/>
            <w:shd w:val="clear" w:color="auto" w:fill="auto"/>
            <w:vAlign w:val="center"/>
          </w:tcPr>
          <w:p w14:paraId="0B12E2B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关于江西省坤育矿业有限公司等4家企业拟通过三级安全生产标准化延期</w:t>
            </w:r>
            <w:r>
              <w:rPr>
                <w:rFonts w:hint="eastAsia" w:ascii="Times New Roman" w:hAnsi="Times New Roman" w:eastAsia="宋体" w:cs="Times New Roman"/>
                <w:color w:val="auto"/>
                <w:kern w:val="2"/>
                <w:sz w:val="21"/>
                <w:szCs w:val="21"/>
                <w:vertAlign w:val="baseline"/>
                <w:lang w:val="en-US" w:eastAsia="zh-CN" w:bidi="ar-SA"/>
              </w:rPr>
              <w:t>（</w:t>
            </w:r>
            <w:r>
              <w:rPr>
                <w:rFonts w:hint="default" w:ascii="Times New Roman" w:hAnsi="Times New Roman" w:eastAsia="宋体" w:cs="Times New Roman"/>
                <w:color w:val="auto"/>
                <w:kern w:val="2"/>
                <w:sz w:val="21"/>
                <w:szCs w:val="21"/>
                <w:vertAlign w:val="baseline"/>
                <w:lang w:val="en-US" w:eastAsia="zh-CN" w:bidi="ar-SA"/>
              </w:rPr>
              <w:t>直接定级</w:t>
            </w:r>
            <w:r>
              <w:rPr>
                <w:rFonts w:hint="eastAsia" w:ascii="Times New Roman" w:hAnsi="Times New Roman" w:eastAsia="宋体" w:cs="Times New Roman"/>
                <w:color w:val="auto"/>
                <w:kern w:val="2"/>
                <w:sz w:val="21"/>
                <w:szCs w:val="21"/>
                <w:vertAlign w:val="baseline"/>
                <w:lang w:val="en-US" w:eastAsia="zh-CN" w:bidi="ar-SA"/>
              </w:rPr>
              <w:t>）</w:t>
            </w:r>
            <w:r>
              <w:rPr>
                <w:rFonts w:hint="default" w:ascii="Times New Roman" w:hAnsi="Times New Roman" w:eastAsia="宋体" w:cs="Times New Roman"/>
                <w:color w:val="auto"/>
                <w:kern w:val="2"/>
                <w:sz w:val="21"/>
                <w:szCs w:val="21"/>
                <w:vertAlign w:val="baseline"/>
                <w:lang w:val="en-US" w:eastAsia="zh-CN" w:bidi="ar-SA"/>
              </w:rPr>
              <w:t>的公示</w:t>
            </w:r>
            <w:r>
              <w:rPr>
                <w:rFonts w:hint="eastAsia" w:ascii="Times New Roman" w:hAnsi="Times New Roman" w:eastAsia="宋体" w:cs="Times New Roman"/>
                <w:color w:val="auto"/>
                <w:kern w:val="2"/>
                <w:sz w:val="21"/>
                <w:szCs w:val="21"/>
                <w:vertAlign w:val="baseline"/>
                <w:lang w:val="en-US" w:eastAsia="zh-CN" w:bidi="ar-SA"/>
              </w:rPr>
              <w:t>，2023年9月4日</w:t>
            </w:r>
          </w:p>
        </w:tc>
      </w:tr>
      <w:tr w14:paraId="0EF164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3353" w:type="dxa"/>
            <w:gridSpan w:val="2"/>
            <w:vMerge w:val="continue"/>
            <w:shd w:val="clear" w:color="auto" w:fill="auto"/>
            <w:vAlign w:val="center"/>
          </w:tcPr>
          <w:p w14:paraId="7287CF8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p>
        </w:tc>
        <w:tc>
          <w:tcPr>
            <w:tcW w:w="2042" w:type="dxa"/>
            <w:shd w:val="clear" w:color="auto" w:fill="auto"/>
            <w:vAlign w:val="center"/>
          </w:tcPr>
          <w:p w14:paraId="0BBDFF5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有效期限</w:t>
            </w:r>
          </w:p>
        </w:tc>
        <w:tc>
          <w:tcPr>
            <w:tcW w:w="3893" w:type="dxa"/>
            <w:gridSpan w:val="3"/>
            <w:shd w:val="clear" w:color="auto" w:fill="auto"/>
            <w:vAlign w:val="center"/>
          </w:tcPr>
          <w:p w14:paraId="4B67ADC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val="en-US" w:eastAsia="zh-CN" w:bidi="ar-SA"/>
              </w:rPr>
              <w:t>2026年9月4日</w:t>
            </w:r>
          </w:p>
        </w:tc>
      </w:tr>
    </w:tbl>
    <w:p w14:paraId="2A50DA35">
      <w:pPr>
        <w:bidi w:val="0"/>
        <w:rPr>
          <w:rFonts w:hint="default"/>
          <w:color w:val="auto"/>
          <w:lang w:val="en-US" w:eastAsia="zh-CN"/>
        </w:rPr>
      </w:pPr>
      <w:r>
        <w:rPr>
          <w:rFonts w:hint="eastAsia"/>
          <w:color w:val="auto"/>
          <w:lang w:val="en-US" w:eastAsia="zh-CN"/>
        </w:rPr>
        <w:t>2. 项目情况</w:t>
      </w:r>
    </w:p>
    <w:p w14:paraId="03E9D2EF">
      <w:pPr>
        <w:rPr>
          <w:rFonts w:hint="eastAsia"/>
          <w:color w:val="auto"/>
          <w:lang w:val="en-US" w:eastAsia="zh-CN"/>
        </w:rPr>
      </w:pPr>
      <w:r>
        <w:rPr>
          <w:rFonts w:hint="default"/>
          <w:color w:val="auto"/>
          <w:lang w:val="en-US" w:eastAsia="zh-CN"/>
        </w:rPr>
        <w:t>2018年3月，江西省坤育矿业有限公司委托江西通安安全评价有限公司编制并提交了《江西省坤育矿业有限公司德安县刘家山矿区辉绿岩矿露天开采</w:t>
      </w:r>
      <w:r>
        <w:rPr>
          <w:rFonts w:hint="eastAsia" w:ascii="宋体" w:hAnsi="宋体" w:eastAsia="宋体" w:cs="宋体"/>
          <w:color w:val="auto"/>
          <w:lang w:val="en-US" w:eastAsia="zh-CN"/>
        </w:rPr>
        <w:t>Ⅰ</w:t>
      </w:r>
      <w:r>
        <w:rPr>
          <w:rFonts w:hint="default"/>
          <w:color w:val="auto"/>
          <w:lang w:val="en-US" w:eastAsia="zh-CN"/>
        </w:rPr>
        <w:t>期工程项目安全预评价报告》。2018年9月</w:t>
      </w:r>
      <w:r>
        <w:rPr>
          <w:rFonts w:hint="eastAsia"/>
          <w:color w:val="auto"/>
          <w:lang w:val="en-US" w:eastAsia="zh-CN"/>
        </w:rPr>
        <w:t>，</w:t>
      </w:r>
      <w:r>
        <w:rPr>
          <w:rFonts w:hint="default"/>
          <w:color w:val="auto"/>
          <w:lang w:val="en-US" w:eastAsia="zh-CN"/>
        </w:rPr>
        <w:t>委托山东省冶金设计院股份有限公司编制了《江西省坤育矿业有限公司德安县聂桥镇刘家山矿区建筑用辉绿岩矿露天开采</w:t>
      </w:r>
      <w:r>
        <w:rPr>
          <w:rFonts w:hint="eastAsia" w:ascii="宋体" w:hAnsi="宋体" w:eastAsia="宋体" w:cs="宋体"/>
          <w:color w:val="auto"/>
          <w:lang w:val="en-US" w:eastAsia="zh-CN"/>
        </w:rPr>
        <w:t>Ⅰ</w:t>
      </w:r>
      <w:r>
        <w:rPr>
          <w:rFonts w:hint="default"/>
          <w:color w:val="auto"/>
          <w:lang w:val="en-US" w:eastAsia="zh-CN"/>
        </w:rPr>
        <w:t>期工程安全设施设计》，九江市安监局组织专家对报告进行了审查，报告通过了评审并获得了批复</w:t>
      </w:r>
      <w:r>
        <w:rPr>
          <w:rFonts w:hint="eastAsia"/>
          <w:color w:val="auto"/>
          <w:lang w:val="en-US" w:eastAsia="zh-CN"/>
        </w:rPr>
        <w:t>（</w:t>
      </w:r>
      <w:r>
        <w:rPr>
          <w:rFonts w:hint="default"/>
          <w:color w:val="auto"/>
          <w:lang w:val="en-US" w:eastAsia="zh-CN"/>
        </w:rPr>
        <w:t>九安监管一字</w:t>
      </w:r>
      <w:r>
        <w:rPr>
          <w:rFonts w:hint="eastAsia" w:ascii="宋体" w:hAnsi="宋体" w:eastAsia="宋体" w:cs="宋体"/>
          <w:color w:val="auto"/>
          <w:lang w:val="en-US" w:eastAsia="zh-CN"/>
        </w:rPr>
        <w:t>[</w:t>
      </w:r>
      <w:r>
        <w:rPr>
          <w:rFonts w:hint="default"/>
          <w:color w:val="auto"/>
          <w:lang w:val="en-US" w:eastAsia="zh-CN"/>
        </w:rPr>
        <w:t>2018</w:t>
      </w:r>
      <w:r>
        <w:rPr>
          <w:rFonts w:hint="eastAsia" w:ascii="宋体" w:hAnsi="宋体" w:eastAsia="宋体" w:cs="宋体"/>
          <w:color w:val="auto"/>
          <w:lang w:val="en-US" w:eastAsia="zh-CN"/>
        </w:rPr>
        <w:t>]</w:t>
      </w:r>
      <w:r>
        <w:rPr>
          <w:rFonts w:hint="default"/>
          <w:color w:val="auto"/>
          <w:lang w:val="en-US" w:eastAsia="zh-CN"/>
        </w:rPr>
        <w:t>30号</w:t>
      </w:r>
      <w:r>
        <w:rPr>
          <w:rFonts w:hint="eastAsia"/>
          <w:color w:val="auto"/>
          <w:lang w:val="en-US" w:eastAsia="zh-CN"/>
        </w:rPr>
        <w:t>）</w:t>
      </w:r>
      <w:r>
        <w:rPr>
          <w:rFonts w:hint="default"/>
          <w:color w:val="auto"/>
          <w:lang w:val="en-US" w:eastAsia="zh-CN"/>
        </w:rPr>
        <w:t>。经过一年多的建设，2019年10月</w:t>
      </w:r>
      <w:r>
        <w:rPr>
          <w:rFonts w:hint="eastAsia"/>
          <w:color w:val="auto"/>
          <w:lang w:val="en-US" w:eastAsia="zh-CN"/>
        </w:rPr>
        <w:t>，</w:t>
      </w:r>
      <w:r>
        <w:rPr>
          <w:rFonts w:hint="default"/>
          <w:color w:val="auto"/>
          <w:lang w:val="en-US" w:eastAsia="zh-CN"/>
        </w:rPr>
        <w:t>南昌安达安全技术咨询有限公司进行了德安县聂桥镇刘家山矿区建筑用辉绿岩矿露天开采</w:t>
      </w:r>
      <w:r>
        <w:rPr>
          <w:rFonts w:hint="eastAsia" w:ascii="宋体" w:hAnsi="宋体" w:eastAsia="宋体" w:cs="宋体"/>
          <w:color w:val="auto"/>
          <w:lang w:val="en-US" w:eastAsia="zh-CN"/>
        </w:rPr>
        <w:t>Ⅰ</w:t>
      </w:r>
      <w:r>
        <w:rPr>
          <w:rFonts w:hint="default"/>
          <w:color w:val="auto"/>
          <w:lang w:val="en-US" w:eastAsia="zh-CN"/>
        </w:rPr>
        <w:t>期工程安全设施验收评价</w:t>
      </w:r>
      <w:r>
        <w:rPr>
          <w:rFonts w:hint="eastAsia"/>
          <w:color w:val="auto"/>
          <w:lang w:val="en-US" w:eastAsia="zh-CN"/>
        </w:rPr>
        <w:t>，出具了</w:t>
      </w:r>
      <w:r>
        <w:rPr>
          <w:rFonts w:hint="default"/>
          <w:color w:val="auto"/>
          <w:lang w:val="en-US" w:eastAsia="zh-CN"/>
        </w:rPr>
        <w:t>《德安县聂桥镇刘家山矿区建筑用辉绿岩矿露天开采</w:t>
      </w:r>
      <w:r>
        <w:rPr>
          <w:rFonts w:hint="eastAsia" w:ascii="宋体" w:hAnsi="宋体" w:eastAsia="宋体" w:cs="宋体"/>
          <w:color w:val="auto"/>
          <w:lang w:val="en-US" w:eastAsia="zh-CN"/>
        </w:rPr>
        <w:t>Ⅰ</w:t>
      </w:r>
      <w:r>
        <w:rPr>
          <w:rFonts w:hint="default"/>
          <w:color w:val="auto"/>
          <w:lang w:val="en-US" w:eastAsia="zh-CN"/>
        </w:rPr>
        <w:t>期工程竣工安全设施验收评价报告》</w:t>
      </w:r>
      <w:r>
        <w:rPr>
          <w:rFonts w:hint="eastAsia"/>
          <w:color w:val="auto"/>
          <w:lang w:val="en-US" w:eastAsia="zh-CN"/>
        </w:rPr>
        <w:t>。</w:t>
      </w:r>
    </w:p>
    <w:p w14:paraId="4FD67E7B">
      <w:pPr>
        <w:rPr>
          <w:rFonts w:hint="default"/>
          <w:color w:val="auto"/>
          <w:lang w:val="en-US" w:eastAsia="zh-CN"/>
        </w:rPr>
      </w:pPr>
      <w:r>
        <w:rPr>
          <w:rFonts w:hint="default"/>
          <w:color w:val="auto"/>
          <w:lang w:val="en-US" w:eastAsia="zh-CN"/>
        </w:rPr>
        <w:t>江西省坤育矿业有限公司德安县聂桥镇刘家山矿区建筑用辉绿岩矿于2022年</w:t>
      </w:r>
      <w:r>
        <w:rPr>
          <w:rFonts w:hint="eastAsia"/>
          <w:color w:val="auto"/>
          <w:lang w:val="en-US" w:eastAsia="zh-CN"/>
        </w:rPr>
        <w:t>11</w:t>
      </w:r>
      <w:r>
        <w:rPr>
          <w:rFonts w:hint="default"/>
          <w:color w:val="auto"/>
          <w:lang w:val="en-US" w:eastAsia="zh-CN"/>
        </w:rPr>
        <w:t>月</w:t>
      </w:r>
      <w:r>
        <w:rPr>
          <w:rFonts w:hint="eastAsia"/>
          <w:color w:val="auto"/>
          <w:lang w:val="en-US" w:eastAsia="zh-CN"/>
        </w:rPr>
        <w:t>1</w:t>
      </w:r>
      <w:r>
        <w:rPr>
          <w:rFonts w:hint="default"/>
          <w:color w:val="auto"/>
          <w:lang w:val="en-US" w:eastAsia="zh-CN"/>
        </w:rPr>
        <w:t>日延期获得了九江市行政审批局颁发的安全生产许可证，证号为（赣）FM安许证字</w:t>
      </w:r>
      <w:r>
        <w:rPr>
          <w:rFonts w:hint="eastAsia" w:ascii="宋体" w:hAnsi="宋体" w:eastAsia="宋体" w:cs="宋体"/>
          <w:color w:val="auto"/>
          <w:lang w:val="en-US" w:eastAsia="zh-CN"/>
        </w:rPr>
        <w:t>[</w:t>
      </w:r>
      <w:r>
        <w:rPr>
          <w:rFonts w:hint="default"/>
          <w:color w:val="auto"/>
          <w:lang w:val="en-US" w:eastAsia="zh-CN"/>
        </w:rPr>
        <w:t>20</w:t>
      </w:r>
      <w:r>
        <w:rPr>
          <w:rFonts w:hint="eastAsia"/>
          <w:color w:val="auto"/>
          <w:lang w:val="en-US" w:eastAsia="zh-CN"/>
        </w:rPr>
        <w:t>22</w:t>
      </w:r>
      <w:r>
        <w:rPr>
          <w:rFonts w:hint="eastAsia" w:ascii="宋体" w:hAnsi="宋体" w:eastAsia="宋体" w:cs="宋体"/>
          <w:color w:val="auto"/>
          <w:lang w:val="en-US" w:eastAsia="zh-CN"/>
        </w:rPr>
        <w:t>]</w:t>
      </w:r>
      <w:r>
        <w:rPr>
          <w:rFonts w:hint="eastAsia"/>
          <w:color w:val="auto"/>
          <w:lang w:val="en-US" w:eastAsia="zh-CN"/>
        </w:rPr>
        <w:t>GF041</w:t>
      </w:r>
      <w:r>
        <w:rPr>
          <w:rFonts w:hint="default"/>
          <w:color w:val="auto"/>
          <w:lang w:val="en-US" w:eastAsia="zh-CN"/>
        </w:rPr>
        <w:t>号，许可范围：辉绿岩矿200万吨/年、+364m、+351m、+338m、+325m、+312m、+299m、+286m、+273m、+260m、+247m、+234m、+22</w:t>
      </w:r>
      <w:r>
        <w:rPr>
          <w:rFonts w:hint="eastAsia"/>
          <w:color w:val="auto"/>
          <w:lang w:val="en-US" w:eastAsia="zh-CN"/>
        </w:rPr>
        <w:t>1</w:t>
      </w:r>
      <w:r>
        <w:rPr>
          <w:rFonts w:hint="default"/>
          <w:color w:val="auto"/>
          <w:lang w:val="en-US" w:eastAsia="zh-CN"/>
        </w:rPr>
        <w:t>m、+208m、+195m十四个台阶露天开采，有效期至2025年</w:t>
      </w:r>
      <w:r>
        <w:rPr>
          <w:rFonts w:hint="eastAsia"/>
          <w:color w:val="auto"/>
          <w:lang w:val="en-US" w:eastAsia="zh-CN"/>
        </w:rPr>
        <w:t>11</w:t>
      </w:r>
      <w:r>
        <w:rPr>
          <w:rFonts w:hint="default"/>
          <w:color w:val="auto"/>
          <w:lang w:val="en-US" w:eastAsia="zh-CN"/>
        </w:rPr>
        <w:t>月</w:t>
      </w:r>
      <w:r>
        <w:rPr>
          <w:rFonts w:hint="eastAsia"/>
          <w:color w:val="auto"/>
          <w:lang w:val="en-US" w:eastAsia="zh-CN"/>
        </w:rPr>
        <w:t>11</w:t>
      </w:r>
      <w:r>
        <w:rPr>
          <w:rFonts w:hint="default"/>
          <w:color w:val="auto"/>
          <w:lang w:val="en-US" w:eastAsia="zh-CN"/>
        </w:rPr>
        <w:t>日。</w:t>
      </w:r>
    </w:p>
    <w:p w14:paraId="7F31BE5E">
      <w:pPr>
        <w:pStyle w:val="4"/>
        <w:bidi w:val="0"/>
        <w:rPr>
          <w:rFonts w:hint="default"/>
          <w:color w:val="auto"/>
          <w:lang w:val="en-US" w:eastAsia="zh-CN"/>
        </w:rPr>
      </w:pPr>
      <w:bookmarkStart w:id="62" w:name="_Toc28854"/>
      <w:bookmarkStart w:id="63" w:name="_Toc13752"/>
      <w:bookmarkStart w:id="64" w:name="_Toc3012"/>
      <w:r>
        <w:rPr>
          <w:rFonts w:hint="default"/>
          <w:color w:val="auto"/>
          <w:lang w:val="en-US" w:eastAsia="zh-CN"/>
        </w:rPr>
        <w:t>2.1.2</w:t>
      </w:r>
      <w:r>
        <w:rPr>
          <w:rFonts w:hint="eastAsia"/>
          <w:color w:val="auto"/>
          <w:lang w:val="en-US" w:eastAsia="zh-CN"/>
        </w:rPr>
        <w:t xml:space="preserve"> </w:t>
      </w:r>
      <w:r>
        <w:rPr>
          <w:rFonts w:hint="default"/>
          <w:color w:val="auto"/>
          <w:lang w:val="en-US" w:eastAsia="zh-CN"/>
        </w:rPr>
        <w:t>地理位置及交通</w:t>
      </w:r>
      <w:bookmarkEnd w:id="62"/>
      <w:bookmarkEnd w:id="63"/>
      <w:bookmarkEnd w:id="64"/>
    </w:p>
    <w:p w14:paraId="2384AD56">
      <w:pPr>
        <w:rPr>
          <w:rFonts w:hint="default"/>
          <w:color w:val="auto"/>
          <w:lang w:val="en-US" w:eastAsia="zh-CN"/>
        </w:rPr>
      </w:pPr>
      <w:r>
        <w:rPr>
          <w:rFonts w:hint="eastAsia"/>
          <w:color w:val="auto"/>
        </w:rPr>
        <w:t>德安县聂桥镇刘家山矿区建筑用辉绿岩矿</w:t>
      </w:r>
      <w:r>
        <w:rPr>
          <w:rFonts w:hint="default"/>
          <w:color w:val="auto"/>
          <w:lang w:val="en-US" w:eastAsia="zh-CN"/>
        </w:rPr>
        <w:t>位于德安县城北29km处，矿区中心点地理坐标</w:t>
      </w:r>
      <w:r>
        <w:rPr>
          <w:rFonts w:hint="eastAsia"/>
          <w:color w:val="auto"/>
          <w:lang w:val="en-US" w:eastAsia="zh-CN"/>
        </w:rPr>
        <w:t>：</w:t>
      </w:r>
      <w:r>
        <w:rPr>
          <w:rFonts w:hint="default"/>
          <w:color w:val="auto"/>
          <w:lang w:val="en-US" w:eastAsia="zh-CN"/>
        </w:rPr>
        <w:t>东经</w:t>
      </w:r>
      <w:r>
        <w:rPr>
          <w:rFonts w:hint="eastAsia"/>
          <w:color w:val="auto"/>
        </w:rPr>
        <w:t>115°40</w:t>
      </w:r>
      <w:r>
        <w:rPr>
          <w:rFonts w:hint="eastAsia" w:ascii="宋体" w:hAnsi="宋体" w:eastAsia="宋体" w:cs="宋体"/>
          <w:color w:val="auto"/>
          <w:lang w:val="en-US" w:eastAsia="zh-CN"/>
        </w:rPr>
        <w:t>′</w:t>
      </w:r>
      <w:r>
        <w:rPr>
          <w:rFonts w:hint="eastAsia"/>
          <w:color w:val="auto"/>
        </w:rPr>
        <w:t>26</w:t>
      </w:r>
      <w:r>
        <w:rPr>
          <w:rFonts w:hint="eastAsia" w:ascii="宋体" w:hAnsi="宋体" w:eastAsia="宋体" w:cs="宋体"/>
          <w:color w:val="auto"/>
          <w:lang w:val="en-US" w:eastAsia="zh-CN"/>
        </w:rPr>
        <w:t>″</w:t>
      </w:r>
      <w:r>
        <w:rPr>
          <w:rFonts w:hint="default"/>
          <w:color w:val="auto"/>
          <w:lang w:val="en-US" w:eastAsia="zh-CN"/>
        </w:rPr>
        <w:t>，北纬</w:t>
      </w:r>
      <w:r>
        <w:rPr>
          <w:rFonts w:hint="eastAsia"/>
          <w:color w:val="auto"/>
        </w:rPr>
        <w:t>29°25</w:t>
      </w:r>
      <w:r>
        <w:rPr>
          <w:rFonts w:hint="eastAsia" w:ascii="宋体" w:hAnsi="宋体" w:eastAsia="宋体" w:cs="宋体"/>
          <w:color w:val="auto"/>
          <w:lang w:val="en-US" w:eastAsia="zh-CN"/>
        </w:rPr>
        <w:t>′</w:t>
      </w:r>
      <w:r>
        <w:rPr>
          <w:rFonts w:hint="eastAsia"/>
          <w:color w:val="auto"/>
        </w:rPr>
        <w:t>29</w:t>
      </w:r>
      <w:r>
        <w:rPr>
          <w:rFonts w:hint="eastAsia" w:ascii="宋体" w:hAnsi="宋体" w:eastAsia="宋体" w:cs="宋体"/>
          <w:color w:val="auto"/>
          <w:lang w:val="en-US" w:eastAsia="zh-CN"/>
        </w:rPr>
        <w:t>″</w:t>
      </w:r>
      <w:r>
        <w:rPr>
          <w:rFonts w:hint="default"/>
          <w:color w:val="auto"/>
          <w:lang w:val="en-US" w:eastAsia="zh-CN"/>
        </w:rPr>
        <w:t>。矿区有水泥路与S316省道相连，与周边乡镇皆有公路联通，矿区有乡村公路接通至聂桥镇，与德安至白水公路相通，交通方便快捷</w:t>
      </w:r>
      <w:r>
        <w:rPr>
          <w:rFonts w:hint="eastAsia"/>
          <w:color w:val="auto"/>
          <w:lang w:val="en-US" w:eastAsia="zh-CN"/>
        </w:rPr>
        <w:t>，</w:t>
      </w:r>
      <w:r>
        <w:rPr>
          <w:rFonts w:hint="default"/>
          <w:color w:val="auto"/>
          <w:lang w:val="en-US" w:eastAsia="zh-CN"/>
        </w:rPr>
        <w:t>矿区位置交通图</w:t>
      </w:r>
      <w:r>
        <w:rPr>
          <w:rFonts w:hint="eastAsia"/>
          <w:color w:val="auto"/>
          <w:lang w:val="en-US" w:eastAsia="zh-CN"/>
        </w:rPr>
        <w:t>（</w:t>
      </w:r>
      <w:r>
        <w:rPr>
          <w:rFonts w:hint="default"/>
          <w:color w:val="auto"/>
          <w:lang w:val="en-US" w:eastAsia="zh-CN"/>
        </w:rPr>
        <w:t>见图</w:t>
      </w:r>
      <w:r>
        <w:rPr>
          <w:rFonts w:hint="eastAsia"/>
          <w:color w:val="auto"/>
          <w:lang w:val="en-US" w:eastAsia="zh-CN"/>
        </w:rPr>
        <w:t>2.1-1）</w:t>
      </w:r>
    </w:p>
    <w:p w14:paraId="2A6BD9AD">
      <w:pPr>
        <w:ind w:left="0" w:leftChars="0" w:firstLine="0" w:firstLineChars="0"/>
        <w:jc w:val="center"/>
        <w:rPr>
          <w:rFonts w:hint="default"/>
          <w:color w:val="auto"/>
          <w:lang w:val="en-US" w:eastAsia="zh-CN"/>
        </w:rPr>
      </w:pPr>
      <w:r>
        <w:rPr>
          <w:color w:val="auto"/>
        </w:rPr>
        <w:drawing>
          <wp:inline distT="0" distB="0" distL="114300" distR="114300">
            <wp:extent cx="4679950" cy="3624580"/>
            <wp:effectExtent l="0" t="0" r="6350" b="1397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a:stretch>
                      <a:fillRect/>
                    </a:stretch>
                  </pic:blipFill>
                  <pic:spPr>
                    <a:xfrm>
                      <a:off x="0" y="0"/>
                      <a:ext cx="4679950" cy="3624580"/>
                    </a:xfrm>
                    <a:prstGeom prst="rect">
                      <a:avLst/>
                    </a:prstGeom>
                    <a:noFill/>
                    <a:ln>
                      <a:noFill/>
                    </a:ln>
                  </pic:spPr>
                </pic:pic>
              </a:graphicData>
            </a:graphic>
          </wp:inline>
        </w:drawing>
      </w:r>
    </w:p>
    <w:p w14:paraId="26A3AC98">
      <w:pPr>
        <w:ind w:left="0" w:leftChars="0" w:firstLine="0" w:firstLineChars="0"/>
        <w:jc w:val="center"/>
        <w:rPr>
          <w:rFonts w:hint="default"/>
          <w:color w:val="auto"/>
          <w:lang w:val="en-US" w:eastAsia="zh-CN"/>
        </w:rPr>
      </w:pPr>
      <w:r>
        <w:rPr>
          <w:rFonts w:hint="default"/>
          <w:color w:val="auto"/>
          <w:lang w:val="en-US" w:eastAsia="zh-CN"/>
        </w:rPr>
        <w:t>图</w:t>
      </w:r>
      <w:r>
        <w:rPr>
          <w:rFonts w:hint="eastAsia"/>
          <w:color w:val="auto"/>
          <w:lang w:val="en-US" w:eastAsia="zh-CN"/>
        </w:rPr>
        <w:t xml:space="preserve">2.1-1 </w:t>
      </w:r>
      <w:r>
        <w:rPr>
          <w:rFonts w:hint="default"/>
          <w:color w:val="auto"/>
          <w:lang w:val="en-US" w:eastAsia="zh-CN"/>
        </w:rPr>
        <w:t>矿区交通位置示意图</w:t>
      </w:r>
    </w:p>
    <w:p w14:paraId="1DDB3EEA">
      <w:pPr>
        <w:pStyle w:val="4"/>
        <w:bidi w:val="0"/>
        <w:rPr>
          <w:rFonts w:hint="default"/>
          <w:color w:val="auto"/>
          <w:lang w:val="en-US" w:eastAsia="zh-CN"/>
        </w:rPr>
      </w:pPr>
      <w:bookmarkStart w:id="65" w:name="_Toc10917"/>
      <w:bookmarkStart w:id="66" w:name="_Toc24955"/>
      <w:bookmarkStart w:id="67" w:name="_Toc23007"/>
      <w:r>
        <w:rPr>
          <w:rFonts w:hint="eastAsia"/>
          <w:color w:val="auto"/>
          <w:lang w:val="en-US" w:eastAsia="zh-CN"/>
        </w:rPr>
        <w:t>2.1.3 开采范围</w:t>
      </w:r>
      <w:bookmarkEnd w:id="65"/>
      <w:bookmarkEnd w:id="66"/>
      <w:bookmarkEnd w:id="67"/>
    </w:p>
    <w:p w14:paraId="4CFAE575">
      <w:pPr>
        <w:rPr>
          <w:rFonts w:hint="default"/>
          <w:color w:val="auto"/>
          <w:lang w:val="en-US" w:eastAsia="zh-CN"/>
        </w:rPr>
      </w:pPr>
      <w:r>
        <w:rPr>
          <w:rFonts w:hint="default"/>
          <w:color w:val="auto"/>
          <w:lang w:val="en-US" w:eastAsia="zh-CN"/>
        </w:rPr>
        <w:t>根据德安县自然资源局2021年4月颁发的《采矿许可证》，德安县聂桥镇刘家山矿区建筑用辉绿岩矿矿区范围呈一不规则多边形，由6个拐点圈定，矿区面积为0.2704km</w:t>
      </w:r>
      <w:r>
        <w:rPr>
          <w:rFonts w:hint="eastAsia"/>
          <w:color w:val="auto"/>
          <w:vertAlign w:val="superscript"/>
          <w:lang w:val="en-US" w:eastAsia="zh-CN"/>
        </w:rPr>
        <w:t>2</w:t>
      </w:r>
      <w:r>
        <w:rPr>
          <w:rFonts w:hint="default"/>
          <w:color w:val="auto"/>
          <w:lang w:val="en-US" w:eastAsia="zh-CN"/>
        </w:rPr>
        <w:t>，开采深度+380m至+125m标高，拐点坐标见表2</w:t>
      </w:r>
      <w:r>
        <w:rPr>
          <w:rFonts w:hint="eastAsia"/>
          <w:color w:val="auto"/>
          <w:lang w:val="en-US" w:eastAsia="zh-CN"/>
        </w:rPr>
        <w:t>.1</w:t>
      </w:r>
      <w:r>
        <w:rPr>
          <w:rFonts w:hint="default"/>
          <w:color w:val="auto"/>
          <w:lang w:val="en-US" w:eastAsia="zh-CN"/>
        </w:rPr>
        <w:t>-2。</w:t>
      </w:r>
    </w:p>
    <w:p w14:paraId="483D76CA">
      <w:pPr>
        <w:rPr>
          <w:rFonts w:hint="default"/>
          <w:color w:val="auto"/>
          <w:lang w:val="en-US" w:eastAsia="zh-CN"/>
        </w:rPr>
      </w:pPr>
      <w:r>
        <w:rPr>
          <w:rFonts w:hint="default"/>
          <w:color w:val="auto"/>
          <w:lang w:val="en-US" w:eastAsia="zh-CN"/>
        </w:rPr>
        <w:t>此次评价范围</w:t>
      </w:r>
      <w:r>
        <w:rPr>
          <w:rFonts w:hint="eastAsia"/>
          <w:color w:val="auto"/>
          <w:lang w:val="en-US" w:eastAsia="zh-CN"/>
        </w:rPr>
        <w:t>：</w:t>
      </w:r>
      <w:r>
        <w:rPr>
          <w:rFonts w:hint="default"/>
          <w:color w:val="auto"/>
          <w:lang w:val="en-US" w:eastAsia="zh-CN"/>
        </w:rPr>
        <w:t>《采矿许可证》划定的矿区平面范围内垂直标高+380m至+195m。</w:t>
      </w:r>
    </w:p>
    <w:p w14:paraId="62502CE5">
      <w:pPr>
        <w:ind w:left="0" w:leftChars="0" w:firstLine="0" w:firstLineChars="0"/>
        <w:jc w:val="center"/>
        <w:rPr>
          <w:rFonts w:hint="eastAsia"/>
          <w:color w:val="auto"/>
          <w:lang w:val="en-US" w:eastAsia="zh-CN"/>
        </w:rPr>
      </w:pPr>
      <w:r>
        <w:rPr>
          <w:rFonts w:hint="default"/>
          <w:color w:val="auto"/>
          <w:lang w:val="en-US" w:eastAsia="zh-CN"/>
        </w:rPr>
        <w:t>表2</w:t>
      </w:r>
      <w:r>
        <w:rPr>
          <w:rFonts w:hint="eastAsia"/>
          <w:color w:val="auto"/>
          <w:lang w:val="en-US" w:eastAsia="zh-CN"/>
        </w:rPr>
        <w:t>.1</w:t>
      </w:r>
      <w:r>
        <w:rPr>
          <w:rFonts w:hint="default"/>
          <w:color w:val="auto"/>
          <w:lang w:val="en-US" w:eastAsia="zh-CN"/>
        </w:rPr>
        <w:t>-2</w:t>
      </w:r>
      <w:r>
        <w:rPr>
          <w:rFonts w:hint="eastAsia"/>
          <w:color w:val="auto"/>
          <w:lang w:val="en-US" w:eastAsia="zh-CN"/>
        </w:rPr>
        <w:t xml:space="preserve"> </w:t>
      </w:r>
      <w:r>
        <w:rPr>
          <w:rFonts w:hint="default"/>
          <w:color w:val="auto"/>
          <w:lang w:val="en-US" w:eastAsia="zh-CN"/>
        </w:rPr>
        <w:t>矿区范围拐点坐标表</w:t>
      </w:r>
      <w:r>
        <w:rPr>
          <w:rFonts w:hint="eastAsia"/>
          <w:color w:val="auto"/>
          <w:lang w:val="en-US" w:eastAsia="zh-CN"/>
        </w:rPr>
        <w:t>（</w:t>
      </w:r>
      <w:r>
        <w:rPr>
          <w:rFonts w:hint="default"/>
          <w:color w:val="auto"/>
          <w:lang w:val="en-US" w:eastAsia="zh-CN"/>
        </w:rPr>
        <w:t>2000国家大地坐标系</w:t>
      </w:r>
      <w:r>
        <w:rPr>
          <w:rFonts w:hint="eastAsia"/>
          <w:color w:val="auto"/>
          <w:lang w:val="en-US" w:eastAsia="zh-CN"/>
        </w:rPr>
        <w:t>）</w:t>
      </w:r>
    </w:p>
    <w:tbl>
      <w:tblPr>
        <w:tblStyle w:val="1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95"/>
        <w:gridCol w:w="3095"/>
        <w:gridCol w:w="3098"/>
      </w:tblGrid>
      <w:tr w14:paraId="37CEA1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1666" w:type="pct"/>
            <w:vAlign w:val="center"/>
          </w:tcPr>
          <w:p w14:paraId="1406053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b/>
                <w:bCs/>
                <w:color w:val="auto"/>
                <w:sz w:val="21"/>
                <w:szCs w:val="21"/>
                <w:vertAlign w:val="baseline"/>
                <w:lang w:val="en-US" w:eastAsia="zh-CN"/>
              </w:rPr>
            </w:pPr>
            <w:r>
              <w:rPr>
                <w:rFonts w:hint="eastAsia"/>
                <w:b/>
                <w:bCs/>
                <w:color w:val="auto"/>
                <w:sz w:val="21"/>
                <w:szCs w:val="21"/>
                <w:vertAlign w:val="baseline"/>
                <w:lang w:val="en-US" w:eastAsia="zh-CN"/>
              </w:rPr>
              <w:t>标号</w:t>
            </w:r>
          </w:p>
        </w:tc>
        <w:tc>
          <w:tcPr>
            <w:tcW w:w="1666" w:type="pct"/>
            <w:vAlign w:val="center"/>
          </w:tcPr>
          <w:p w14:paraId="20443E3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b/>
                <w:bCs/>
                <w:color w:val="auto"/>
                <w:sz w:val="21"/>
                <w:szCs w:val="21"/>
                <w:vertAlign w:val="baseline"/>
                <w:lang w:val="en-US" w:eastAsia="zh-CN"/>
              </w:rPr>
            </w:pPr>
            <w:r>
              <w:rPr>
                <w:rFonts w:hint="eastAsia"/>
                <w:b/>
                <w:bCs/>
                <w:color w:val="auto"/>
                <w:sz w:val="21"/>
                <w:szCs w:val="21"/>
                <w:vertAlign w:val="baseline"/>
                <w:lang w:val="en-US" w:eastAsia="zh-CN"/>
              </w:rPr>
              <w:t>X</w:t>
            </w:r>
          </w:p>
        </w:tc>
        <w:tc>
          <w:tcPr>
            <w:tcW w:w="1667" w:type="pct"/>
            <w:vAlign w:val="center"/>
          </w:tcPr>
          <w:p w14:paraId="4DD9E3D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b/>
                <w:bCs/>
                <w:color w:val="auto"/>
                <w:sz w:val="21"/>
                <w:szCs w:val="21"/>
                <w:vertAlign w:val="baseline"/>
                <w:lang w:val="en-US" w:eastAsia="zh-CN"/>
              </w:rPr>
            </w:pPr>
            <w:r>
              <w:rPr>
                <w:rFonts w:hint="eastAsia"/>
                <w:b/>
                <w:bCs/>
                <w:color w:val="auto"/>
                <w:sz w:val="21"/>
                <w:szCs w:val="21"/>
                <w:vertAlign w:val="baseline"/>
                <w:lang w:val="en-US" w:eastAsia="zh-CN"/>
              </w:rPr>
              <w:t>Y</w:t>
            </w:r>
          </w:p>
        </w:tc>
      </w:tr>
      <w:tr w14:paraId="5A592E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1666" w:type="pct"/>
            <w:vAlign w:val="center"/>
          </w:tcPr>
          <w:p w14:paraId="5A1C9CA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1</w:t>
            </w:r>
          </w:p>
        </w:tc>
        <w:tc>
          <w:tcPr>
            <w:tcW w:w="1666" w:type="pct"/>
            <w:vAlign w:val="center"/>
          </w:tcPr>
          <w:p w14:paraId="7BF20AD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3256814.02</w:t>
            </w:r>
          </w:p>
        </w:tc>
        <w:tc>
          <w:tcPr>
            <w:tcW w:w="1667" w:type="pct"/>
            <w:vAlign w:val="center"/>
          </w:tcPr>
          <w:p w14:paraId="2844D7A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39370588.86</w:t>
            </w:r>
          </w:p>
        </w:tc>
      </w:tr>
      <w:tr w14:paraId="07AB8B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666" w:type="pct"/>
            <w:vAlign w:val="center"/>
          </w:tcPr>
          <w:p w14:paraId="09EC0F7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2</w:t>
            </w:r>
          </w:p>
        </w:tc>
        <w:tc>
          <w:tcPr>
            <w:tcW w:w="1666" w:type="pct"/>
            <w:vAlign w:val="center"/>
          </w:tcPr>
          <w:p w14:paraId="3237581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3256932.02</w:t>
            </w:r>
          </w:p>
        </w:tc>
        <w:tc>
          <w:tcPr>
            <w:tcW w:w="1667" w:type="pct"/>
            <w:vAlign w:val="center"/>
          </w:tcPr>
          <w:p w14:paraId="2533624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39370588.86</w:t>
            </w:r>
          </w:p>
        </w:tc>
      </w:tr>
      <w:tr w14:paraId="4E6F3B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1666" w:type="pct"/>
            <w:vAlign w:val="center"/>
          </w:tcPr>
          <w:p w14:paraId="5D1B862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3</w:t>
            </w:r>
          </w:p>
        </w:tc>
        <w:tc>
          <w:tcPr>
            <w:tcW w:w="1666" w:type="pct"/>
            <w:vAlign w:val="center"/>
          </w:tcPr>
          <w:p w14:paraId="3DB95F8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3257084.57</w:t>
            </w:r>
          </w:p>
        </w:tc>
        <w:tc>
          <w:tcPr>
            <w:tcW w:w="1667" w:type="pct"/>
            <w:vAlign w:val="center"/>
          </w:tcPr>
          <w:p w14:paraId="4C19576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39370667.35</w:t>
            </w:r>
          </w:p>
        </w:tc>
      </w:tr>
      <w:tr w14:paraId="14726F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666" w:type="pct"/>
            <w:vAlign w:val="center"/>
          </w:tcPr>
          <w:p w14:paraId="2CD75CC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4</w:t>
            </w:r>
          </w:p>
        </w:tc>
        <w:tc>
          <w:tcPr>
            <w:tcW w:w="1666" w:type="pct"/>
            <w:vAlign w:val="center"/>
          </w:tcPr>
          <w:p w14:paraId="613EF74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3257281.39</w:t>
            </w:r>
          </w:p>
        </w:tc>
        <w:tc>
          <w:tcPr>
            <w:tcW w:w="1667" w:type="pct"/>
            <w:vAlign w:val="center"/>
          </w:tcPr>
          <w:p w14:paraId="04A0688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39371085.98</w:t>
            </w:r>
          </w:p>
        </w:tc>
      </w:tr>
      <w:tr w14:paraId="1C7E54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trPr>
        <w:tc>
          <w:tcPr>
            <w:tcW w:w="1666" w:type="pct"/>
            <w:vAlign w:val="center"/>
          </w:tcPr>
          <w:p w14:paraId="3788758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5</w:t>
            </w:r>
          </w:p>
        </w:tc>
        <w:tc>
          <w:tcPr>
            <w:tcW w:w="1666" w:type="pct"/>
            <w:vAlign w:val="center"/>
          </w:tcPr>
          <w:p w14:paraId="21DEC0B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3256746.25</w:t>
            </w:r>
          </w:p>
        </w:tc>
        <w:tc>
          <w:tcPr>
            <w:tcW w:w="1667" w:type="pct"/>
            <w:vAlign w:val="center"/>
          </w:tcPr>
          <w:p w14:paraId="3362BF2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39371258.28</w:t>
            </w:r>
          </w:p>
        </w:tc>
      </w:tr>
      <w:tr w14:paraId="34FC8D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1666" w:type="pct"/>
            <w:vAlign w:val="center"/>
          </w:tcPr>
          <w:p w14:paraId="573A183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6</w:t>
            </w:r>
          </w:p>
        </w:tc>
        <w:tc>
          <w:tcPr>
            <w:tcW w:w="1666" w:type="pct"/>
            <w:vAlign w:val="center"/>
          </w:tcPr>
          <w:p w14:paraId="380B2C5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3256655.72</w:t>
            </w:r>
          </w:p>
        </w:tc>
        <w:tc>
          <w:tcPr>
            <w:tcW w:w="1667" w:type="pct"/>
            <w:vAlign w:val="center"/>
          </w:tcPr>
          <w:p w14:paraId="2D8D268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39370807.61</w:t>
            </w:r>
          </w:p>
        </w:tc>
      </w:tr>
      <w:tr w14:paraId="5C3E40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1666" w:type="pct"/>
            <w:vAlign w:val="center"/>
          </w:tcPr>
          <w:p w14:paraId="2BBED3A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开采深度</w:t>
            </w:r>
          </w:p>
        </w:tc>
        <w:tc>
          <w:tcPr>
            <w:tcW w:w="3333" w:type="pct"/>
            <w:gridSpan w:val="2"/>
            <w:vAlign w:val="center"/>
          </w:tcPr>
          <w:p w14:paraId="799B2E1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由+380m至+125m</w:t>
            </w:r>
          </w:p>
        </w:tc>
      </w:tr>
      <w:tr w14:paraId="523576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trPr>
        <w:tc>
          <w:tcPr>
            <w:tcW w:w="1666" w:type="pct"/>
            <w:vAlign w:val="center"/>
          </w:tcPr>
          <w:p w14:paraId="0BB24C6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矿区面积</w:t>
            </w:r>
          </w:p>
        </w:tc>
        <w:tc>
          <w:tcPr>
            <w:tcW w:w="3333" w:type="pct"/>
            <w:gridSpan w:val="2"/>
            <w:vAlign w:val="center"/>
          </w:tcPr>
          <w:p w14:paraId="5B605EC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0.2704km</w:t>
            </w:r>
            <w:r>
              <w:rPr>
                <w:rFonts w:hint="eastAsia"/>
                <w:color w:val="auto"/>
                <w:sz w:val="21"/>
                <w:szCs w:val="21"/>
                <w:vertAlign w:val="superscript"/>
                <w:lang w:val="en-US" w:eastAsia="zh-CN"/>
              </w:rPr>
              <w:t>2</w:t>
            </w:r>
          </w:p>
        </w:tc>
      </w:tr>
    </w:tbl>
    <w:p w14:paraId="36169A9D">
      <w:pPr>
        <w:pStyle w:val="4"/>
        <w:bidi w:val="0"/>
        <w:rPr>
          <w:rFonts w:hint="default"/>
          <w:color w:val="auto"/>
          <w:lang w:val="en-US" w:eastAsia="zh-CN"/>
        </w:rPr>
      </w:pPr>
      <w:bookmarkStart w:id="68" w:name="_Toc2972"/>
      <w:bookmarkStart w:id="69" w:name="_Toc7180"/>
      <w:bookmarkStart w:id="70" w:name="_Toc27073"/>
      <w:r>
        <w:rPr>
          <w:rFonts w:hint="default"/>
          <w:color w:val="auto"/>
          <w:lang w:val="en-US" w:eastAsia="zh-CN"/>
        </w:rPr>
        <w:t>2.1.</w:t>
      </w:r>
      <w:r>
        <w:rPr>
          <w:rFonts w:hint="eastAsia"/>
          <w:color w:val="auto"/>
          <w:lang w:val="en-US" w:eastAsia="zh-CN"/>
        </w:rPr>
        <w:t>4</w:t>
      </w:r>
      <w:r>
        <w:rPr>
          <w:rFonts w:hint="default"/>
          <w:color w:val="auto"/>
          <w:lang w:val="en-US" w:eastAsia="zh-CN"/>
        </w:rPr>
        <w:t xml:space="preserve"> 矿区周边环境</w:t>
      </w:r>
      <w:bookmarkEnd w:id="68"/>
      <w:bookmarkEnd w:id="69"/>
      <w:bookmarkEnd w:id="70"/>
    </w:p>
    <w:p w14:paraId="6E8D4EB4">
      <w:pPr>
        <w:rPr>
          <w:rFonts w:hint="default"/>
          <w:color w:val="auto"/>
          <w:lang w:val="en-US" w:eastAsia="zh-CN"/>
        </w:rPr>
      </w:pPr>
      <w:r>
        <w:rPr>
          <w:rFonts w:hint="default"/>
          <w:color w:val="auto"/>
          <w:lang w:val="en-US" w:eastAsia="zh-CN"/>
        </w:rPr>
        <w:t>矿区三面环山，南面、东面以及北面均为山地。矿区界线西侧外50m为破碎工业场地，矿区界线西北侧300m处为彭山锡矿的尾矿库，矿区西南侧330m为一栋民房。除此之外，采场周边300m范围内无相邻矿山、医院、学校、民房等，500m范围内无高压电力设施，矿区1000m可视范围内没有铁路、高速公路、国道、省道。矿区内无其他矿权设置，无矿界</w:t>
      </w:r>
      <w:r>
        <w:rPr>
          <w:rFonts w:hint="eastAsia"/>
          <w:color w:val="auto"/>
          <w:lang w:val="en-US" w:eastAsia="zh-CN"/>
        </w:rPr>
        <w:t>重叠</w:t>
      </w:r>
      <w:r>
        <w:rPr>
          <w:rFonts w:hint="default"/>
          <w:color w:val="auto"/>
          <w:lang w:val="en-US" w:eastAsia="zh-CN"/>
        </w:rPr>
        <w:t>现象。矿区周边无水库、工业设施、高压线、集中民房、旅游景点、水源地等。</w:t>
      </w:r>
    </w:p>
    <w:p w14:paraId="37DAE86F">
      <w:pPr>
        <w:rPr>
          <w:rFonts w:hint="default"/>
          <w:color w:val="auto"/>
          <w:lang w:val="en-US" w:eastAsia="zh-CN"/>
        </w:rPr>
      </w:pPr>
      <w:r>
        <w:rPr>
          <w:rFonts w:hint="default"/>
          <w:color w:val="auto"/>
          <w:lang w:val="en-US" w:eastAsia="zh-CN"/>
        </w:rPr>
        <w:t>区内沟谷较发育，地表不易积水。附近无大的地表水体，主要见矿区西侧一条季节性溪流，补给来源主要为大气降水，受季节性影响明显，暴涨暴落，旱季多干枯。矿区开采主矿体埋藏在当地侵蚀基准面以上，地形有利于自然排水。</w:t>
      </w:r>
    </w:p>
    <w:p w14:paraId="1A0F7F74">
      <w:pPr>
        <w:pStyle w:val="3"/>
        <w:bidi w:val="0"/>
        <w:rPr>
          <w:rFonts w:hint="default"/>
          <w:color w:val="auto"/>
          <w:lang w:val="en-US" w:eastAsia="zh-CN"/>
        </w:rPr>
      </w:pPr>
      <w:bookmarkStart w:id="71" w:name="_Toc11496"/>
      <w:bookmarkStart w:id="72" w:name="_Toc21148"/>
      <w:bookmarkStart w:id="73" w:name="_Toc18826"/>
      <w:r>
        <w:rPr>
          <w:rFonts w:hint="eastAsia"/>
          <w:color w:val="auto"/>
          <w:lang w:val="en-US" w:eastAsia="zh-CN"/>
        </w:rPr>
        <w:t>2.2 自然环境概况</w:t>
      </w:r>
      <w:bookmarkEnd w:id="71"/>
      <w:bookmarkEnd w:id="72"/>
      <w:bookmarkEnd w:id="73"/>
    </w:p>
    <w:p w14:paraId="3E8B78BC">
      <w:pPr>
        <w:rPr>
          <w:rFonts w:hint="default"/>
          <w:color w:val="auto"/>
          <w:lang w:val="en-US" w:eastAsia="zh-CN"/>
        </w:rPr>
      </w:pPr>
      <w:r>
        <w:rPr>
          <w:rFonts w:hint="eastAsia"/>
          <w:color w:val="auto"/>
          <w:lang w:val="en-US" w:eastAsia="zh-CN"/>
        </w:rPr>
        <w:t>1. 地形地貌</w:t>
      </w:r>
    </w:p>
    <w:p w14:paraId="2265CF02">
      <w:pPr>
        <w:rPr>
          <w:rFonts w:hint="default"/>
          <w:color w:val="auto"/>
          <w:lang w:val="en-US" w:eastAsia="zh-CN"/>
        </w:rPr>
      </w:pPr>
      <w:r>
        <w:rPr>
          <w:rFonts w:hint="default"/>
          <w:color w:val="auto"/>
          <w:lang w:val="en-US" w:eastAsia="zh-CN"/>
        </w:rPr>
        <w:t>矿区属构造剥蚀不连续之低山～丘陵地貌，山脉呈北东向展布，地势总体东高西低，最高点在矿区东部，海拔标高</w:t>
      </w:r>
      <w:r>
        <w:rPr>
          <w:rFonts w:hint="eastAsia"/>
          <w:color w:val="auto"/>
          <w:lang w:val="en-US" w:eastAsia="zh-CN"/>
        </w:rPr>
        <w:t>+</w:t>
      </w:r>
      <w:r>
        <w:rPr>
          <w:rFonts w:hint="default"/>
          <w:color w:val="auto"/>
          <w:lang w:val="en-US" w:eastAsia="zh-CN"/>
        </w:rPr>
        <w:t>380.0m，西部运输通道边储水池最低点海拔标高约+121.0m，相对高差259.0m。区内大气降水顺坡向四周沟谷排入小河流。</w:t>
      </w:r>
    </w:p>
    <w:p w14:paraId="32917203">
      <w:pPr>
        <w:rPr>
          <w:rFonts w:hint="default"/>
          <w:color w:val="auto"/>
          <w:lang w:val="en-US" w:eastAsia="zh-CN"/>
        </w:rPr>
      </w:pPr>
      <w:r>
        <w:rPr>
          <w:rFonts w:hint="eastAsia"/>
          <w:color w:val="auto"/>
          <w:lang w:val="en-US" w:eastAsia="zh-CN"/>
        </w:rPr>
        <w:t>2. 气象</w:t>
      </w:r>
    </w:p>
    <w:p w14:paraId="2000DAF2">
      <w:pPr>
        <w:rPr>
          <w:rFonts w:hint="default"/>
          <w:color w:val="auto"/>
          <w:lang w:val="en-US" w:eastAsia="zh-CN"/>
        </w:rPr>
      </w:pPr>
      <w:r>
        <w:rPr>
          <w:rFonts w:hint="default"/>
          <w:color w:val="auto"/>
          <w:lang w:val="en-US" w:eastAsia="zh-CN"/>
        </w:rPr>
        <w:t>该区地处亚热带季风气候区，气候湿润温暖，四季分明。据德安县气象局提供的气象统计资料，多年年平均气温16.5℃</w:t>
      </w:r>
      <w:r>
        <w:rPr>
          <w:rFonts w:hint="eastAsia"/>
          <w:color w:val="auto"/>
          <w:lang w:val="en-US" w:eastAsia="zh-CN"/>
        </w:rPr>
        <w:t>，</w:t>
      </w:r>
      <w:r>
        <w:rPr>
          <w:rFonts w:hint="default"/>
          <w:color w:val="auto"/>
          <w:lang w:val="en-US" w:eastAsia="zh-CN"/>
        </w:rPr>
        <w:t>最高气温41.2℃，最低气温</w:t>
      </w:r>
      <w:r>
        <w:rPr>
          <w:rFonts w:hint="eastAsia" w:ascii="宋体" w:hAnsi="宋体" w:eastAsia="宋体" w:cs="宋体"/>
          <w:color w:val="auto"/>
          <w:lang w:val="en-US" w:eastAsia="zh-CN"/>
        </w:rPr>
        <w:t>-</w:t>
      </w:r>
      <w:r>
        <w:rPr>
          <w:rFonts w:hint="default"/>
          <w:color w:val="auto"/>
          <w:lang w:val="en-US" w:eastAsia="zh-CN"/>
        </w:rPr>
        <w:t>10.3℃。年平均降雨量1614.32mm，年最大降雨量为2180.3mm，年最小降雨量为1136.0mm，最大日降雨量为151.7mm，最大小时降雨量62.9mm。降雨量年内分配不均，受季风环流影响，每年3～7月为雨季，降雨量占全年降雨量的70～80%，其中4～6月降雨量尤多，占全年降雨量的40～75%，12月至翌年2月降雨量最少，仅占降雨量的16%。年水面蒸发量1492.5～1927.0mm。最大风速11.7m/s，风向南或北。</w:t>
      </w:r>
    </w:p>
    <w:p w14:paraId="725A0043">
      <w:pPr>
        <w:rPr>
          <w:rFonts w:hint="default"/>
          <w:color w:val="auto"/>
          <w:lang w:val="en-US" w:eastAsia="zh-CN"/>
        </w:rPr>
      </w:pPr>
      <w:r>
        <w:rPr>
          <w:rFonts w:hint="eastAsia"/>
          <w:color w:val="auto"/>
          <w:lang w:val="en-US" w:eastAsia="zh-CN"/>
        </w:rPr>
        <w:t>3. 地震</w:t>
      </w:r>
    </w:p>
    <w:p w14:paraId="18E7FCF4">
      <w:pPr>
        <w:rPr>
          <w:rFonts w:hint="default"/>
          <w:color w:val="auto"/>
          <w:lang w:val="en-US" w:eastAsia="zh-CN"/>
        </w:rPr>
      </w:pPr>
      <w:r>
        <w:rPr>
          <w:rFonts w:hint="default"/>
          <w:color w:val="auto"/>
          <w:lang w:val="en-US" w:eastAsia="zh-CN"/>
        </w:rPr>
        <w:t>根据《中国地震动参数区划图》</w:t>
      </w:r>
      <w:r>
        <w:rPr>
          <w:rFonts w:hint="eastAsia"/>
          <w:color w:val="auto"/>
          <w:lang w:val="en-US" w:eastAsia="zh-CN"/>
        </w:rPr>
        <w:t>（</w:t>
      </w:r>
      <w:r>
        <w:rPr>
          <w:rFonts w:hint="default"/>
          <w:color w:val="auto"/>
          <w:lang w:val="en-US" w:eastAsia="zh-CN"/>
        </w:rPr>
        <w:t>GB18306-2015</w:t>
      </w:r>
      <w:r>
        <w:rPr>
          <w:rFonts w:hint="eastAsia"/>
          <w:color w:val="auto"/>
          <w:lang w:val="en-US" w:eastAsia="zh-CN"/>
        </w:rPr>
        <w:t>）</w:t>
      </w:r>
      <w:r>
        <w:rPr>
          <w:rFonts w:hint="default"/>
          <w:color w:val="auto"/>
          <w:lang w:val="en-US" w:eastAsia="zh-CN"/>
        </w:rPr>
        <w:t>，矿区地震动峰值加速度为0.05g，地震烈度为</w:t>
      </w:r>
      <w:r>
        <w:rPr>
          <w:rFonts w:hint="eastAsia" w:ascii="宋体" w:hAnsi="宋体" w:eastAsia="宋体" w:cs="宋体"/>
          <w:color w:val="auto"/>
          <w:lang w:val="en-US" w:eastAsia="zh-CN"/>
        </w:rPr>
        <w:t>Ⅵ</w:t>
      </w:r>
      <w:r>
        <w:rPr>
          <w:rFonts w:hint="default"/>
          <w:color w:val="auto"/>
          <w:lang w:val="en-US" w:eastAsia="zh-CN"/>
        </w:rPr>
        <w:t>。</w:t>
      </w:r>
    </w:p>
    <w:p w14:paraId="41EF5B06">
      <w:pPr>
        <w:pStyle w:val="3"/>
        <w:bidi w:val="0"/>
        <w:rPr>
          <w:rFonts w:hint="default"/>
          <w:color w:val="auto"/>
          <w:lang w:val="en-US" w:eastAsia="zh-CN"/>
        </w:rPr>
      </w:pPr>
      <w:bookmarkStart w:id="74" w:name="_Toc11927"/>
      <w:bookmarkStart w:id="75" w:name="_Toc15715"/>
      <w:bookmarkStart w:id="76" w:name="_Toc7564"/>
      <w:r>
        <w:rPr>
          <w:rFonts w:hint="default"/>
          <w:color w:val="auto"/>
          <w:lang w:val="en-US" w:eastAsia="zh-CN"/>
        </w:rPr>
        <w:t>2.3 地质概况</w:t>
      </w:r>
      <w:bookmarkEnd w:id="74"/>
      <w:bookmarkEnd w:id="75"/>
      <w:bookmarkEnd w:id="76"/>
    </w:p>
    <w:p w14:paraId="3C260211">
      <w:pPr>
        <w:pStyle w:val="4"/>
        <w:bidi w:val="0"/>
        <w:rPr>
          <w:rFonts w:hint="default"/>
          <w:color w:val="auto"/>
          <w:lang w:val="en-US" w:eastAsia="zh-CN"/>
        </w:rPr>
      </w:pPr>
      <w:bookmarkStart w:id="77" w:name="_Toc6691"/>
      <w:bookmarkStart w:id="78" w:name="_Toc19947"/>
      <w:bookmarkStart w:id="79" w:name="_Toc10913"/>
      <w:r>
        <w:rPr>
          <w:rFonts w:hint="default"/>
          <w:color w:val="auto"/>
          <w:lang w:val="en-US" w:eastAsia="zh-CN"/>
        </w:rPr>
        <w:t>2.3.1</w:t>
      </w:r>
      <w:r>
        <w:rPr>
          <w:rFonts w:hint="eastAsia"/>
          <w:color w:val="auto"/>
          <w:lang w:val="en-US" w:eastAsia="zh-CN"/>
        </w:rPr>
        <w:t xml:space="preserve"> </w:t>
      </w:r>
      <w:r>
        <w:rPr>
          <w:rFonts w:hint="default"/>
          <w:color w:val="auto"/>
          <w:lang w:val="en-US" w:eastAsia="zh-CN"/>
        </w:rPr>
        <w:t>矿区地质概况</w:t>
      </w:r>
      <w:bookmarkEnd w:id="77"/>
      <w:bookmarkEnd w:id="78"/>
      <w:bookmarkEnd w:id="79"/>
    </w:p>
    <w:p w14:paraId="6395D62C">
      <w:pPr>
        <w:rPr>
          <w:rFonts w:hint="default"/>
          <w:color w:val="auto"/>
          <w:lang w:val="en-US" w:eastAsia="zh-CN"/>
        </w:rPr>
      </w:pPr>
      <w:r>
        <w:rPr>
          <w:rFonts w:hint="eastAsia"/>
          <w:color w:val="auto"/>
          <w:lang w:val="en-US" w:eastAsia="zh-CN"/>
        </w:rPr>
        <w:t>1. 区域地质</w:t>
      </w:r>
    </w:p>
    <w:p w14:paraId="4920FE18">
      <w:pPr>
        <w:rPr>
          <w:rFonts w:hint="default"/>
          <w:color w:val="auto"/>
          <w:lang w:val="en-US" w:eastAsia="zh-CN"/>
        </w:rPr>
      </w:pPr>
      <w:r>
        <w:rPr>
          <w:rFonts w:hint="default"/>
          <w:color w:val="auto"/>
          <w:lang w:val="en-US" w:eastAsia="zh-CN"/>
        </w:rPr>
        <w:t>矿区位于扬子准地台、下扬子～钱塘坳陷、九江台陷、九江～瑞昌褶断带南缘，其南与江南台隆相邻。</w:t>
      </w:r>
    </w:p>
    <w:p w14:paraId="3AB1543B">
      <w:pPr>
        <w:rPr>
          <w:rFonts w:hint="default"/>
          <w:color w:val="auto"/>
          <w:lang w:val="en-US" w:eastAsia="zh-CN"/>
        </w:rPr>
      </w:pPr>
      <w:r>
        <w:rPr>
          <w:rFonts w:hint="eastAsia"/>
          <w:color w:val="auto"/>
          <w:lang w:val="en-US" w:eastAsia="zh-CN"/>
        </w:rPr>
        <w:t>2. 矿区地质</w:t>
      </w:r>
    </w:p>
    <w:p w14:paraId="6628BAF1">
      <w:pPr>
        <w:rPr>
          <w:rFonts w:hint="default"/>
          <w:color w:val="auto"/>
          <w:lang w:val="en-US" w:eastAsia="zh-CN"/>
        </w:rPr>
      </w:pPr>
      <w:r>
        <w:rPr>
          <w:rFonts w:hint="eastAsia"/>
          <w:color w:val="auto"/>
          <w:lang w:val="en-US" w:eastAsia="zh-CN"/>
        </w:rPr>
        <w:t>（</w:t>
      </w:r>
      <w:r>
        <w:rPr>
          <w:rFonts w:hint="default"/>
          <w:color w:val="auto"/>
          <w:lang w:val="en-US" w:eastAsia="zh-CN"/>
        </w:rPr>
        <w:t>1</w:t>
      </w:r>
      <w:r>
        <w:rPr>
          <w:rFonts w:hint="eastAsia"/>
          <w:color w:val="auto"/>
          <w:lang w:val="en-US" w:eastAsia="zh-CN"/>
        </w:rPr>
        <w:t>）</w:t>
      </w:r>
      <w:r>
        <w:rPr>
          <w:rFonts w:hint="default"/>
          <w:color w:val="auto"/>
          <w:lang w:val="en-US" w:eastAsia="zh-CN"/>
        </w:rPr>
        <w:t>地层</w:t>
      </w:r>
    </w:p>
    <w:p w14:paraId="0AF6279A">
      <w:pPr>
        <w:rPr>
          <w:rFonts w:hint="default"/>
          <w:color w:val="auto"/>
          <w:lang w:val="en-US" w:eastAsia="zh-CN"/>
        </w:rPr>
      </w:pPr>
      <w:r>
        <w:rPr>
          <w:rFonts w:hint="default"/>
          <w:color w:val="auto"/>
          <w:lang w:val="en-US" w:eastAsia="zh-CN"/>
        </w:rPr>
        <w:t>区内地层自东向西由老变新依次为上元古界青白口系双桥山群下亚群</w:t>
      </w:r>
      <w:r>
        <w:rPr>
          <w:rFonts w:hint="eastAsia"/>
          <w:color w:val="auto"/>
          <w:lang w:val="en-US" w:eastAsia="zh-CN"/>
        </w:rPr>
        <w:t>（</w:t>
      </w:r>
      <w:r>
        <w:rPr>
          <w:rFonts w:hint="default"/>
          <w:color w:val="auto"/>
          <w:lang w:val="en-US" w:eastAsia="zh-CN"/>
        </w:rPr>
        <w:t>Ptsh</w:t>
      </w:r>
      <w:r>
        <w:rPr>
          <w:rFonts w:hint="default"/>
          <w:color w:val="auto"/>
          <w:vertAlign w:val="superscript"/>
          <w:lang w:val="en-US" w:eastAsia="zh-CN"/>
        </w:rPr>
        <w:t>1</w:t>
      </w:r>
      <w:r>
        <w:rPr>
          <w:rFonts w:hint="eastAsia"/>
          <w:color w:val="auto"/>
          <w:lang w:val="en-US" w:eastAsia="zh-CN"/>
        </w:rPr>
        <w:t>）</w:t>
      </w:r>
      <w:r>
        <w:rPr>
          <w:rFonts w:hint="default"/>
          <w:color w:val="auto"/>
          <w:lang w:val="en-US" w:eastAsia="zh-CN"/>
        </w:rPr>
        <w:t>，南华系下统莲沱组</w:t>
      </w:r>
      <w:r>
        <w:rPr>
          <w:rFonts w:hint="eastAsia"/>
          <w:color w:val="auto"/>
          <w:lang w:val="en-US" w:eastAsia="zh-CN"/>
        </w:rPr>
        <w:t>（</w:t>
      </w:r>
      <w:r>
        <w:rPr>
          <w:rFonts w:hint="default"/>
          <w:color w:val="auto"/>
          <w:lang w:val="en-US" w:eastAsia="zh-CN"/>
        </w:rPr>
        <w:t>Nh</w:t>
      </w:r>
      <w:r>
        <w:rPr>
          <w:rFonts w:hint="default"/>
          <w:color w:val="auto"/>
          <w:vertAlign w:val="subscript"/>
          <w:lang w:val="en-US" w:eastAsia="zh-CN"/>
        </w:rPr>
        <w:t>1</w:t>
      </w:r>
      <w:r>
        <w:rPr>
          <w:rFonts w:hint="default"/>
          <w:color w:val="auto"/>
          <w:lang w:val="en-US" w:eastAsia="zh-CN"/>
        </w:rPr>
        <w:t>1</w:t>
      </w:r>
      <w:r>
        <w:rPr>
          <w:rFonts w:hint="eastAsia"/>
          <w:color w:val="auto"/>
          <w:lang w:val="en-US" w:eastAsia="zh-CN"/>
        </w:rPr>
        <w:t>）</w:t>
      </w:r>
      <w:r>
        <w:rPr>
          <w:rFonts w:hint="default"/>
          <w:color w:val="auto"/>
          <w:lang w:val="en-US" w:eastAsia="zh-CN"/>
        </w:rPr>
        <w:t>、上统南沱组</w:t>
      </w:r>
      <w:r>
        <w:rPr>
          <w:rFonts w:hint="eastAsia"/>
          <w:color w:val="auto"/>
          <w:lang w:val="en-US" w:eastAsia="zh-CN"/>
        </w:rPr>
        <w:t>（</w:t>
      </w:r>
      <w:r>
        <w:rPr>
          <w:rFonts w:hint="default"/>
          <w:color w:val="auto"/>
          <w:lang w:val="en-US" w:eastAsia="zh-CN"/>
        </w:rPr>
        <w:t>Nh</w:t>
      </w:r>
      <w:r>
        <w:rPr>
          <w:rFonts w:hint="default"/>
          <w:color w:val="auto"/>
          <w:vertAlign w:val="subscript"/>
          <w:lang w:val="en-US" w:eastAsia="zh-CN"/>
        </w:rPr>
        <w:t>3</w:t>
      </w:r>
      <w:r>
        <w:rPr>
          <w:rFonts w:hint="default"/>
          <w:color w:val="auto"/>
          <w:lang w:val="en-US" w:eastAsia="zh-CN"/>
        </w:rPr>
        <w:t>n</w:t>
      </w:r>
      <w:r>
        <w:rPr>
          <w:rFonts w:hint="eastAsia"/>
          <w:color w:val="auto"/>
          <w:lang w:val="en-US" w:eastAsia="zh-CN"/>
        </w:rPr>
        <w:t>）</w:t>
      </w:r>
      <w:r>
        <w:rPr>
          <w:rFonts w:hint="default"/>
          <w:color w:val="auto"/>
          <w:lang w:val="en-US" w:eastAsia="zh-CN"/>
        </w:rPr>
        <w:t>，震旦系下统陡山沱组</w:t>
      </w:r>
      <w:r>
        <w:rPr>
          <w:rFonts w:hint="eastAsia"/>
          <w:color w:val="auto"/>
          <w:lang w:val="en-US" w:eastAsia="zh-CN"/>
        </w:rPr>
        <w:t>（</w:t>
      </w:r>
      <w:r>
        <w:rPr>
          <w:rFonts w:hint="default"/>
          <w:color w:val="auto"/>
          <w:lang w:val="en-US" w:eastAsia="zh-CN"/>
        </w:rPr>
        <w:t>Z</w:t>
      </w:r>
      <w:r>
        <w:rPr>
          <w:rFonts w:hint="default"/>
          <w:color w:val="auto"/>
          <w:vertAlign w:val="subscript"/>
          <w:lang w:val="en-US" w:eastAsia="zh-CN"/>
        </w:rPr>
        <w:t>1</w:t>
      </w:r>
      <w:r>
        <w:rPr>
          <w:rFonts w:hint="default"/>
          <w:color w:val="auto"/>
          <w:lang w:val="en-US" w:eastAsia="zh-CN"/>
        </w:rPr>
        <w:t>d</w:t>
      </w:r>
      <w:r>
        <w:rPr>
          <w:rFonts w:hint="eastAsia"/>
          <w:color w:val="auto"/>
          <w:lang w:val="en-US" w:eastAsia="zh-CN"/>
        </w:rPr>
        <w:t>），</w:t>
      </w:r>
      <w:r>
        <w:rPr>
          <w:rFonts w:hint="default"/>
          <w:color w:val="auto"/>
          <w:lang w:val="en-US" w:eastAsia="zh-CN"/>
        </w:rPr>
        <w:t>震旦系上统灯影组</w:t>
      </w:r>
      <w:r>
        <w:rPr>
          <w:rFonts w:hint="eastAsia"/>
          <w:color w:val="auto"/>
          <w:lang w:val="en-US" w:eastAsia="zh-CN"/>
        </w:rPr>
        <w:t>（</w:t>
      </w:r>
      <w:r>
        <w:rPr>
          <w:rFonts w:hint="default"/>
          <w:color w:val="auto"/>
          <w:lang w:val="en-US" w:eastAsia="zh-CN"/>
        </w:rPr>
        <w:t>Z</w:t>
      </w:r>
      <w:r>
        <w:rPr>
          <w:rFonts w:hint="default"/>
          <w:color w:val="auto"/>
          <w:vertAlign w:val="subscript"/>
          <w:lang w:val="en-US" w:eastAsia="zh-CN"/>
        </w:rPr>
        <w:t>2</w:t>
      </w:r>
      <w:r>
        <w:rPr>
          <w:rFonts w:hint="default"/>
          <w:color w:val="auto"/>
          <w:lang w:val="en-US" w:eastAsia="zh-CN"/>
        </w:rPr>
        <w:t>€</w:t>
      </w:r>
      <w:r>
        <w:rPr>
          <w:rFonts w:hint="default"/>
          <w:color w:val="auto"/>
          <w:vertAlign w:val="subscript"/>
          <w:lang w:val="en-US" w:eastAsia="zh-CN"/>
        </w:rPr>
        <w:t>l</w:t>
      </w:r>
      <w:r>
        <w:rPr>
          <w:rFonts w:hint="default"/>
          <w:color w:val="auto"/>
          <w:lang w:val="en-US" w:eastAsia="zh-CN"/>
        </w:rPr>
        <w:t>d</w:t>
      </w:r>
      <w:r>
        <w:rPr>
          <w:rFonts w:hint="eastAsia"/>
          <w:color w:val="auto"/>
          <w:lang w:val="en-US" w:eastAsia="zh-CN"/>
        </w:rPr>
        <w:t>）</w:t>
      </w:r>
      <w:r>
        <w:rPr>
          <w:rFonts w:hint="default"/>
          <w:color w:val="auto"/>
          <w:lang w:val="en-US" w:eastAsia="zh-CN"/>
        </w:rPr>
        <w:t>，寒武系下统荷塘组</w:t>
      </w:r>
      <w:r>
        <w:rPr>
          <w:rFonts w:hint="eastAsia"/>
          <w:color w:val="auto"/>
          <w:lang w:val="en-US" w:eastAsia="zh-CN"/>
        </w:rPr>
        <w:t>（</w:t>
      </w:r>
      <w:r>
        <w:rPr>
          <w:rFonts w:hint="default"/>
          <w:color w:val="auto"/>
          <w:lang w:val="en-US" w:eastAsia="zh-CN"/>
        </w:rPr>
        <w:t>€</w:t>
      </w:r>
      <w:r>
        <w:rPr>
          <w:rFonts w:hint="default"/>
          <w:color w:val="auto"/>
          <w:vertAlign w:val="subscript"/>
          <w:lang w:val="en-US" w:eastAsia="zh-CN"/>
        </w:rPr>
        <w:t>1-2</w:t>
      </w:r>
      <w:r>
        <w:rPr>
          <w:rFonts w:hint="default"/>
          <w:color w:val="auto"/>
          <w:lang w:val="en-US" w:eastAsia="zh-CN"/>
        </w:rPr>
        <w:t>h</w:t>
      </w:r>
      <w:r>
        <w:rPr>
          <w:rFonts w:hint="eastAsia"/>
          <w:color w:val="auto"/>
          <w:lang w:val="en-US" w:eastAsia="zh-CN"/>
        </w:rPr>
        <w:t>）</w:t>
      </w:r>
      <w:r>
        <w:rPr>
          <w:rFonts w:hint="default"/>
          <w:color w:val="auto"/>
          <w:lang w:val="en-US" w:eastAsia="zh-CN"/>
        </w:rPr>
        <w:t>及第四系</w:t>
      </w:r>
      <w:r>
        <w:rPr>
          <w:rFonts w:hint="eastAsia"/>
          <w:color w:val="auto"/>
          <w:lang w:val="en-US" w:eastAsia="zh-CN"/>
        </w:rPr>
        <w:t>（</w:t>
      </w:r>
      <w:r>
        <w:rPr>
          <w:rFonts w:hint="default"/>
          <w:color w:val="auto"/>
          <w:lang w:val="en-US" w:eastAsia="zh-CN"/>
        </w:rPr>
        <w:t>Q</w:t>
      </w:r>
      <w:r>
        <w:rPr>
          <w:rFonts w:hint="default"/>
          <w:color w:val="auto"/>
          <w:vertAlign w:val="subscript"/>
          <w:lang w:val="en-US" w:eastAsia="zh-CN"/>
        </w:rPr>
        <w:t>4</w:t>
      </w:r>
      <w:r>
        <w:rPr>
          <w:rFonts w:hint="eastAsia"/>
          <w:color w:val="auto"/>
          <w:lang w:val="en-US" w:eastAsia="zh-CN"/>
        </w:rPr>
        <w:t>）</w:t>
      </w:r>
      <w:r>
        <w:rPr>
          <w:rFonts w:hint="default"/>
          <w:color w:val="auto"/>
          <w:lang w:val="en-US" w:eastAsia="zh-CN"/>
        </w:rPr>
        <w:t>。</w:t>
      </w:r>
    </w:p>
    <w:p w14:paraId="0713591F">
      <w:pPr>
        <w:rPr>
          <w:rFonts w:hint="eastAsia"/>
          <w:color w:val="auto"/>
          <w:lang w:val="en-US" w:eastAsia="zh-CN"/>
        </w:rPr>
      </w:pPr>
      <w:r>
        <w:rPr>
          <w:rFonts w:hint="default"/>
          <w:color w:val="auto"/>
          <w:lang w:val="en-US" w:eastAsia="zh-CN"/>
        </w:rPr>
        <w:t>①上元古界青白口系双桥山群下亚群浅变质岩</w:t>
      </w:r>
      <w:r>
        <w:rPr>
          <w:rFonts w:hint="eastAsia"/>
          <w:color w:val="auto"/>
          <w:lang w:val="en-US" w:eastAsia="zh-CN"/>
        </w:rPr>
        <w:t>（</w:t>
      </w:r>
      <w:r>
        <w:rPr>
          <w:rFonts w:hint="default"/>
          <w:color w:val="auto"/>
          <w:lang w:val="en-US" w:eastAsia="zh-CN"/>
        </w:rPr>
        <w:t>Ptsh</w:t>
      </w:r>
      <w:r>
        <w:rPr>
          <w:rFonts w:hint="default"/>
          <w:color w:val="auto"/>
          <w:vertAlign w:val="superscript"/>
          <w:lang w:val="en-US" w:eastAsia="zh-CN"/>
        </w:rPr>
        <w:t>1</w:t>
      </w:r>
      <w:r>
        <w:rPr>
          <w:rFonts w:hint="eastAsia"/>
          <w:color w:val="auto"/>
          <w:lang w:val="en-US" w:eastAsia="zh-CN"/>
        </w:rPr>
        <w:t>）</w:t>
      </w:r>
    </w:p>
    <w:p w14:paraId="7D76B3BC">
      <w:pPr>
        <w:rPr>
          <w:rFonts w:hint="default"/>
          <w:color w:val="auto"/>
          <w:lang w:val="en-US" w:eastAsia="zh-CN"/>
        </w:rPr>
      </w:pPr>
      <w:r>
        <w:rPr>
          <w:rFonts w:hint="default"/>
          <w:color w:val="auto"/>
          <w:lang w:val="en-US" w:eastAsia="zh-CN"/>
        </w:rPr>
        <w:t>灰绿色板岩与粉砂质板岩互层，主要分布在矿区东北部，出露厚度2～10m。</w:t>
      </w:r>
    </w:p>
    <w:p w14:paraId="4660EE93">
      <w:pPr>
        <w:rPr>
          <w:rFonts w:hint="default"/>
          <w:color w:val="auto"/>
          <w:lang w:val="en-US" w:eastAsia="zh-CN"/>
        </w:rPr>
      </w:pPr>
      <w:r>
        <w:rPr>
          <w:rFonts w:hint="eastAsia"/>
          <w:color w:val="auto"/>
          <w:lang w:val="en-US" w:eastAsia="zh-CN"/>
        </w:rPr>
        <w:t>一</w:t>
      </w:r>
      <w:r>
        <w:rPr>
          <w:rFonts w:hint="default"/>
          <w:color w:val="auto"/>
          <w:lang w:val="en-US" w:eastAsia="zh-CN"/>
        </w:rPr>
        <w:t>套以细碧岩、角斑岩、火山角砾及凝灰岩组成的细碧角斑岩建造为特征构成的火山喷发沉积韵律顺层产于本层顶部，主要出露于矿区西部和南北的沟谷中。其层位由下往上依次为凝灰岩，厚度50～75m</w:t>
      </w:r>
      <w:r>
        <w:rPr>
          <w:rFonts w:hint="eastAsia"/>
          <w:color w:val="auto"/>
          <w:lang w:val="en-US" w:eastAsia="zh-CN"/>
        </w:rPr>
        <w:t>；</w:t>
      </w:r>
      <w:r>
        <w:rPr>
          <w:rFonts w:hint="default"/>
          <w:color w:val="auto"/>
          <w:lang w:val="en-US" w:eastAsia="zh-CN"/>
        </w:rPr>
        <w:t>细粒细碧岩，厚度15～40m</w:t>
      </w:r>
      <w:r>
        <w:rPr>
          <w:rFonts w:hint="eastAsia"/>
          <w:color w:val="auto"/>
          <w:lang w:val="en-US" w:eastAsia="zh-CN"/>
        </w:rPr>
        <w:t>；</w:t>
      </w:r>
      <w:r>
        <w:rPr>
          <w:rFonts w:hint="default"/>
          <w:color w:val="auto"/>
          <w:lang w:val="en-US" w:eastAsia="zh-CN"/>
        </w:rPr>
        <w:t>细碧角斑岩，厚度10～40m</w:t>
      </w:r>
      <w:r>
        <w:rPr>
          <w:rFonts w:hint="eastAsia"/>
          <w:color w:val="auto"/>
          <w:lang w:val="en-US" w:eastAsia="zh-CN"/>
        </w:rPr>
        <w:t>；</w:t>
      </w:r>
      <w:r>
        <w:rPr>
          <w:rFonts w:hint="default"/>
          <w:color w:val="auto"/>
          <w:lang w:val="en-US" w:eastAsia="zh-CN"/>
        </w:rPr>
        <w:t>中粒细碧岩，厚度45～105m。</w:t>
      </w:r>
    </w:p>
    <w:p w14:paraId="703600F8">
      <w:pPr>
        <w:rPr>
          <w:rFonts w:hint="default"/>
          <w:color w:val="auto"/>
          <w:lang w:val="en-US" w:eastAsia="zh-CN"/>
        </w:rPr>
      </w:pPr>
      <w:r>
        <w:rPr>
          <w:rFonts w:hint="default"/>
          <w:color w:val="auto"/>
          <w:lang w:val="en-US" w:eastAsia="zh-CN"/>
        </w:rPr>
        <w:t>②南华系下统莲沱组（Nh</w:t>
      </w:r>
      <w:r>
        <w:rPr>
          <w:rFonts w:hint="default"/>
          <w:color w:val="auto"/>
          <w:vertAlign w:val="subscript"/>
          <w:lang w:val="en-US" w:eastAsia="zh-CN"/>
        </w:rPr>
        <w:t>1</w:t>
      </w:r>
      <w:r>
        <w:rPr>
          <w:rFonts w:hint="default"/>
          <w:color w:val="auto"/>
          <w:lang w:val="en-US" w:eastAsia="zh-CN"/>
        </w:rPr>
        <w:t>l）</w:t>
      </w:r>
    </w:p>
    <w:p w14:paraId="1CB19A01">
      <w:pPr>
        <w:rPr>
          <w:rFonts w:hint="default"/>
          <w:color w:val="auto"/>
          <w:lang w:val="en-US" w:eastAsia="zh-CN"/>
        </w:rPr>
      </w:pPr>
      <w:r>
        <w:rPr>
          <w:rFonts w:hint="default"/>
          <w:color w:val="auto"/>
          <w:lang w:val="en-US" w:eastAsia="zh-CN"/>
        </w:rPr>
        <w:t>以紫红色石英砂岩为主，局部可见灰色、灰白色浅变质石英砂岩，主要分布在矿区东部，厚度25～30m。</w:t>
      </w:r>
    </w:p>
    <w:p w14:paraId="6B73E477">
      <w:pPr>
        <w:rPr>
          <w:rFonts w:hint="default"/>
          <w:color w:val="auto"/>
          <w:lang w:val="en-US" w:eastAsia="zh-CN"/>
        </w:rPr>
      </w:pPr>
      <w:r>
        <w:rPr>
          <w:rFonts w:hint="default"/>
          <w:color w:val="auto"/>
          <w:lang w:val="en-US" w:eastAsia="zh-CN"/>
        </w:rPr>
        <w:t>③南华系上统南沱组（Nh</w:t>
      </w:r>
      <w:r>
        <w:rPr>
          <w:rFonts w:hint="default"/>
          <w:color w:val="auto"/>
          <w:vertAlign w:val="subscript"/>
          <w:lang w:val="en-US" w:eastAsia="zh-CN"/>
        </w:rPr>
        <w:t>3</w:t>
      </w:r>
      <w:r>
        <w:rPr>
          <w:rFonts w:hint="default"/>
          <w:color w:val="auto"/>
          <w:lang w:val="en-US" w:eastAsia="zh-CN"/>
        </w:rPr>
        <w:t>n）</w:t>
      </w:r>
    </w:p>
    <w:p w14:paraId="503B4342">
      <w:pPr>
        <w:rPr>
          <w:rFonts w:hint="default"/>
          <w:color w:val="auto"/>
          <w:lang w:val="en-US" w:eastAsia="zh-CN"/>
        </w:rPr>
      </w:pPr>
      <w:r>
        <w:rPr>
          <w:rFonts w:hint="default"/>
          <w:color w:val="auto"/>
          <w:lang w:val="en-US" w:eastAsia="zh-CN"/>
        </w:rPr>
        <w:t>下部为含砾泥岩、凝灰质粉砂岩，上部夹泥质灰岩透镜体，主要分布于矿区西部，厚度3～10m。</w:t>
      </w:r>
    </w:p>
    <w:p w14:paraId="55D048CA">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④震旦系下统陡山沱组（Z</w:t>
      </w:r>
      <w:r>
        <w:rPr>
          <w:rFonts w:hint="default" w:ascii="Times New Roman" w:hAnsi="Times New Roman" w:cs="Times New Roman"/>
          <w:color w:val="auto"/>
          <w:vertAlign w:val="subscript"/>
          <w:lang w:val="en-US" w:eastAsia="zh-CN"/>
        </w:rPr>
        <w:t>1</w:t>
      </w:r>
      <w:r>
        <w:rPr>
          <w:rFonts w:hint="default" w:ascii="Times New Roman" w:hAnsi="Times New Roman" w:cs="Times New Roman"/>
          <w:color w:val="auto"/>
          <w:lang w:val="en-US" w:eastAsia="zh-CN"/>
        </w:rPr>
        <w:t>d）</w:t>
      </w:r>
    </w:p>
    <w:p w14:paraId="27E968DC">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底部铁质泥岩，下部白云质灰岩、粉砂质页岩，上部含碳硅质页岩与薄层硅质岩、钙质粉砂岩互层。</w:t>
      </w:r>
    </w:p>
    <w:p w14:paraId="3C4E25EE">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⑤震旦系上统灯影组（Z</w:t>
      </w:r>
      <w:r>
        <w:rPr>
          <w:rFonts w:hint="default" w:ascii="Times New Roman" w:hAnsi="Times New Roman" w:cs="Times New Roman"/>
          <w:color w:val="auto"/>
          <w:vertAlign w:val="subscript"/>
          <w:lang w:val="en-US" w:eastAsia="zh-CN"/>
        </w:rPr>
        <w:t>2</w:t>
      </w:r>
      <w:r>
        <w:rPr>
          <w:rFonts w:hint="default" w:ascii="Times New Roman" w:hAnsi="Times New Roman" w:cs="Times New Roman"/>
          <w:color w:val="auto"/>
          <w:lang w:val="en-US" w:eastAsia="zh-CN"/>
        </w:rPr>
        <w:t>Є</w:t>
      </w:r>
      <w:r>
        <w:rPr>
          <w:rFonts w:hint="default" w:ascii="Times New Roman" w:hAnsi="Times New Roman" w:cs="Times New Roman"/>
          <w:color w:val="auto"/>
          <w:vertAlign w:val="subscript"/>
          <w:lang w:val="en-US" w:eastAsia="zh-CN"/>
        </w:rPr>
        <w:t>1</w:t>
      </w:r>
      <w:r>
        <w:rPr>
          <w:rFonts w:hint="default" w:ascii="Times New Roman" w:hAnsi="Times New Roman" w:cs="Times New Roman"/>
          <w:color w:val="auto"/>
          <w:lang w:val="en-US" w:eastAsia="zh-CN"/>
        </w:rPr>
        <w:t>d）</w:t>
      </w:r>
    </w:p>
    <w:p w14:paraId="0E3BC493">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下部泥晶灰岩夹角砾状白云质灰岩，中部条带状硅质岩与泥晶灰岩互层，上部硅质岩夹含碳硅质页岩。</w:t>
      </w:r>
    </w:p>
    <w:p w14:paraId="40AFBDA8">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⑥寒武系下统荷塘组（Є</w:t>
      </w:r>
      <w:r>
        <w:rPr>
          <w:rFonts w:hint="default" w:ascii="Times New Roman" w:hAnsi="Times New Roman" w:cs="Times New Roman"/>
          <w:color w:val="auto"/>
          <w:vertAlign w:val="subscript"/>
          <w:lang w:val="en-US" w:eastAsia="zh-CN"/>
        </w:rPr>
        <w:t>1-2</w:t>
      </w:r>
      <w:r>
        <w:rPr>
          <w:rFonts w:hint="default" w:ascii="Times New Roman" w:hAnsi="Times New Roman" w:cs="Times New Roman"/>
          <w:color w:val="auto"/>
          <w:lang w:val="en-US" w:eastAsia="zh-CN"/>
        </w:rPr>
        <w:t>h）</w:t>
      </w:r>
    </w:p>
    <w:p w14:paraId="07E46F98">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下部为含重晶石结合、含胶磷矿结核碳质页岩夹石煤层，上部碳质页岩、含碳硅质页岩夹薄～中厚层灰岩。</w:t>
      </w:r>
    </w:p>
    <w:p w14:paraId="4E72F9A9">
      <w:pPr>
        <w:rPr>
          <w:rFonts w:hint="default"/>
          <w:color w:val="auto"/>
          <w:lang w:val="en-US" w:eastAsia="zh-CN"/>
        </w:rPr>
      </w:pPr>
      <w:r>
        <w:rPr>
          <w:rFonts w:hint="default" w:ascii="Times New Roman" w:hAnsi="Times New Roman" w:cs="Times New Roman"/>
          <w:color w:val="auto"/>
          <w:lang w:val="en-US" w:eastAsia="zh-CN"/>
        </w:rPr>
        <w:t>⑦第四</w:t>
      </w:r>
      <w:r>
        <w:rPr>
          <w:rFonts w:hint="default"/>
          <w:color w:val="auto"/>
          <w:lang w:val="en-US" w:eastAsia="zh-CN"/>
        </w:rPr>
        <w:t>系（Q</w:t>
      </w:r>
      <w:r>
        <w:rPr>
          <w:rFonts w:hint="default"/>
          <w:color w:val="auto"/>
          <w:vertAlign w:val="subscript"/>
          <w:lang w:val="en-US" w:eastAsia="zh-CN"/>
        </w:rPr>
        <w:t>4</w:t>
      </w:r>
      <w:r>
        <w:rPr>
          <w:rFonts w:hint="default"/>
          <w:color w:val="auto"/>
          <w:lang w:val="en-US" w:eastAsia="zh-CN"/>
        </w:rPr>
        <w:t>）</w:t>
      </w:r>
    </w:p>
    <w:p w14:paraId="02708737">
      <w:pPr>
        <w:rPr>
          <w:rFonts w:hint="default"/>
          <w:color w:val="auto"/>
          <w:lang w:val="en-US" w:eastAsia="zh-CN"/>
        </w:rPr>
      </w:pPr>
      <w:r>
        <w:rPr>
          <w:rFonts w:hint="default"/>
          <w:color w:val="auto"/>
          <w:lang w:val="en-US" w:eastAsia="zh-CN"/>
        </w:rPr>
        <w:t>上部为棕黄色砂质粘土，下部为碎石网纹状亚粘土。主要分布在山间沟谷地带，厚0～5m。</w:t>
      </w:r>
    </w:p>
    <w:p w14:paraId="251B31D2">
      <w:pPr>
        <w:rPr>
          <w:rFonts w:hint="default"/>
          <w:color w:val="auto"/>
          <w:lang w:val="en-US" w:eastAsia="zh-CN"/>
        </w:rPr>
      </w:pPr>
      <w:r>
        <w:rPr>
          <w:rFonts w:hint="eastAsia"/>
          <w:color w:val="auto"/>
          <w:lang w:val="en-US" w:eastAsia="zh-CN"/>
        </w:rPr>
        <w:t>（2）构造</w:t>
      </w:r>
    </w:p>
    <w:p w14:paraId="327C16C7">
      <w:pPr>
        <w:rPr>
          <w:rFonts w:hint="default"/>
          <w:color w:val="auto"/>
          <w:lang w:val="en-US" w:eastAsia="zh-CN"/>
        </w:rPr>
      </w:pPr>
      <w:r>
        <w:rPr>
          <w:rFonts w:hint="default"/>
          <w:color w:val="auto"/>
          <w:lang w:val="en-US" w:eastAsia="zh-CN"/>
        </w:rPr>
        <w:t>矿区中部构造属彭山穹隆核部的一部分，其它部位属彭山穹状背斜的西翼单斜构造。区内构造较简单，微小构造发育。</w:t>
      </w:r>
    </w:p>
    <w:p w14:paraId="1B8F0820">
      <w:pPr>
        <w:rPr>
          <w:rFonts w:hint="default"/>
          <w:color w:val="auto"/>
          <w:lang w:val="en-US" w:eastAsia="zh-CN"/>
        </w:rPr>
      </w:pPr>
      <w:r>
        <w:rPr>
          <w:rFonts w:hint="eastAsia"/>
          <w:color w:val="auto"/>
          <w:lang w:val="en-US" w:eastAsia="zh-CN"/>
        </w:rPr>
        <w:t>（3）</w:t>
      </w:r>
      <w:r>
        <w:rPr>
          <w:rFonts w:hint="default"/>
          <w:color w:val="auto"/>
          <w:lang w:val="en-US" w:eastAsia="zh-CN"/>
        </w:rPr>
        <w:t>岩浆岩</w:t>
      </w:r>
    </w:p>
    <w:p w14:paraId="1CC3FF5D">
      <w:pPr>
        <w:rPr>
          <w:rFonts w:hint="default"/>
          <w:color w:val="auto"/>
          <w:lang w:val="en-US" w:eastAsia="zh-CN"/>
        </w:rPr>
      </w:pPr>
      <w:r>
        <w:rPr>
          <w:rFonts w:hint="default"/>
          <w:color w:val="auto"/>
          <w:lang w:val="en-US" w:eastAsia="zh-CN"/>
        </w:rPr>
        <w:t>①晋宁期</w:t>
      </w:r>
    </w:p>
    <w:p w14:paraId="155C38DD">
      <w:pPr>
        <w:rPr>
          <w:rFonts w:hint="default"/>
          <w:color w:val="auto"/>
          <w:lang w:val="en-US" w:eastAsia="zh-CN"/>
        </w:rPr>
      </w:pPr>
      <w:r>
        <w:rPr>
          <w:rFonts w:hint="default"/>
          <w:color w:val="auto"/>
          <w:lang w:val="en-US" w:eastAsia="zh-CN"/>
        </w:rPr>
        <w:t>区内岩浆活动主要表现为海底火山喷发，形成了一套以细碧岩、细碧角斑岩、火山角砾及凝灰岩为特征构成的火山喷发沉积建造。</w:t>
      </w:r>
    </w:p>
    <w:p w14:paraId="2CEE848A">
      <w:pPr>
        <w:rPr>
          <w:rFonts w:hint="default"/>
          <w:color w:val="auto"/>
          <w:lang w:val="en-US" w:eastAsia="zh-CN"/>
        </w:rPr>
      </w:pPr>
      <w:r>
        <w:rPr>
          <w:rFonts w:hint="default"/>
          <w:color w:val="auto"/>
          <w:lang w:val="en-US" w:eastAsia="zh-CN"/>
        </w:rPr>
        <w:t>②燕山期</w:t>
      </w:r>
    </w:p>
    <w:p w14:paraId="7F99FDD8">
      <w:pPr>
        <w:rPr>
          <w:rFonts w:hint="default"/>
          <w:color w:val="auto"/>
          <w:lang w:val="en-US" w:eastAsia="zh-CN"/>
        </w:rPr>
      </w:pPr>
      <w:r>
        <w:rPr>
          <w:rFonts w:hint="default"/>
          <w:color w:val="auto"/>
          <w:lang w:val="en-US" w:eastAsia="zh-CN"/>
        </w:rPr>
        <w:t>燕山晚期岩浆活动明显增强，形成彭山穹窿隐伏花岗岩体常见的岩石类型有二云母花岗岩、石英闪长岩、闪斜煌斑岩、辉绿岩、花岗斑岩等。</w:t>
      </w:r>
    </w:p>
    <w:p w14:paraId="094F0014">
      <w:pPr>
        <w:pStyle w:val="4"/>
        <w:bidi w:val="0"/>
        <w:rPr>
          <w:rFonts w:hint="default"/>
          <w:color w:val="auto"/>
          <w:lang w:val="en-US" w:eastAsia="zh-CN"/>
        </w:rPr>
      </w:pPr>
      <w:bookmarkStart w:id="80" w:name="_Toc14635"/>
      <w:bookmarkStart w:id="81" w:name="_Toc20372"/>
      <w:bookmarkStart w:id="82" w:name="_Toc19536"/>
      <w:r>
        <w:rPr>
          <w:rFonts w:hint="default"/>
          <w:color w:val="auto"/>
          <w:lang w:val="en-US" w:eastAsia="zh-CN"/>
        </w:rPr>
        <w:t>2.3.2 水文地质概况</w:t>
      </w:r>
      <w:bookmarkEnd w:id="80"/>
      <w:bookmarkEnd w:id="81"/>
      <w:bookmarkEnd w:id="82"/>
    </w:p>
    <w:p w14:paraId="65A97778">
      <w:pPr>
        <w:rPr>
          <w:rFonts w:hint="default"/>
          <w:color w:val="auto"/>
          <w:lang w:val="en-US" w:eastAsia="zh-CN"/>
        </w:rPr>
      </w:pPr>
      <w:r>
        <w:rPr>
          <w:rFonts w:hint="eastAsia"/>
          <w:color w:val="auto"/>
          <w:lang w:val="en-US" w:eastAsia="zh-CN"/>
        </w:rPr>
        <w:t>1. 含水层与隔水层特征</w:t>
      </w:r>
    </w:p>
    <w:p w14:paraId="7C2C1E9E">
      <w:pPr>
        <w:rPr>
          <w:rFonts w:hint="default"/>
          <w:color w:val="auto"/>
          <w:lang w:val="en-US" w:eastAsia="zh-CN"/>
        </w:rPr>
      </w:pPr>
      <w:r>
        <w:rPr>
          <w:rFonts w:hint="default"/>
          <w:color w:val="auto"/>
          <w:lang w:val="en-US" w:eastAsia="zh-CN"/>
        </w:rPr>
        <w:t>区主要的含水层为松散岩孔隙潜水含水层和基岩裂隙含水层。</w:t>
      </w:r>
    </w:p>
    <w:p w14:paraId="3E118D79">
      <w:pPr>
        <w:rPr>
          <w:rFonts w:hint="default"/>
          <w:color w:val="auto"/>
          <w:lang w:val="en-US" w:eastAsia="zh-CN"/>
        </w:rPr>
      </w:pPr>
      <w:r>
        <w:rPr>
          <w:rFonts w:hint="default"/>
          <w:color w:val="auto"/>
          <w:lang w:val="en-US" w:eastAsia="zh-CN"/>
        </w:rPr>
        <w:t>（1）松散岩孔隙潜水含水层</w:t>
      </w:r>
    </w:p>
    <w:p w14:paraId="32AC597F">
      <w:pPr>
        <w:rPr>
          <w:rFonts w:hint="default"/>
          <w:color w:val="auto"/>
          <w:lang w:val="en-US" w:eastAsia="zh-CN"/>
        </w:rPr>
      </w:pPr>
      <w:r>
        <w:rPr>
          <w:rFonts w:hint="default"/>
          <w:color w:val="auto"/>
          <w:lang w:val="en-US" w:eastAsia="zh-CN"/>
        </w:rPr>
        <w:t>赋存于第四系松散堆积层空隙中，以潜水为主。主要分布于矿区山间谷地、地形低洼处。富水性弱～极弱，按含水来源性质分为两个亚类。</w:t>
      </w:r>
    </w:p>
    <w:p w14:paraId="0896F312">
      <w:pPr>
        <w:rPr>
          <w:rFonts w:hint="default"/>
          <w:color w:val="auto"/>
          <w:lang w:val="en-US" w:eastAsia="zh-CN"/>
        </w:rPr>
      </w:pPr>
      <w:r>
        <w:rPr>
          <w:rFonts w:hint="default"/>
          <w:color w:val="auto"/>
          <w:lang w:val="en-US" w:eastAsia="zh-CN"/>
        </w:rPr>
        <w:t>①山间河谷冲积含水层</w:t>
      </w:r>
    </w:p>
    <w:p w14:paraId="619A576A">
      <w:pPr>
        <w:rPr>
          <w:rFonts w:hint="default"/>
          <w:color w:val="auto"/>
          <w:lang w:val="en-US" w:eastAsia="zh-CN"/>
        </w:rPr>
      </w:pPr>
      <w:r>
        <w:rPr>
          <w:rFonts w:hint="default"/>
          <w:color w:val="auto"/>
          <w:lang w:val="en-US" w:eastAsia="zh-CN"/>
        </w:rPr>
        <w:t>由第四系全新统冲积上更新统残坡积砾石、砾砂夹粘性土组成，分选性差，较多粘性土混杂，含水层厚度0.50～2.0m，最大厚度不超过5m。水质类型为重碳酸钙镁型低矿化度弱碱性水，矿化度0.06～0.12g/L，PH值7.35～7.65，富水性属弱～极弱含水层。</w:t>
      </w:r>
    </w:p>
    <w:p w14:paraId="68C6A432">
      <w:pPr>
        <w:rPr>
          <w:rFonts w:hint="default"/>
          <w:color w:val="auto"/>
          <w:lang w:val="en-US" w:eastAsia="zh-CN"/>
        </w:rPr>
      </w:pPr>
      <w:r>
        <w:rPr>
          <w:rFonts w:hint="default"/>
          <w:color w:val="auto"/>
          <w:lang w:val="en-US" w:eastAsia="zh-CN"/>
        </w:rPr>
        <w:t>②山间谷地坡积含水层</w:t>
      </w:r>
    </w:p>
    <w:p w14:paraId="318D3446">
      <w:pPr>
        <w:rPr>
          <w:rFonts w:hint="default"/>
          <w:color w:val="auto"/>
          <w:lang w:val="en-US" w:eastAsia="zh-CN"/>
        </w:rPr>
      </w:pPr>
      <w:r>
        <w:rPr>
          <w:rFonts w:hint="default"/>
          <w:color w:val="auto"/>
          <w:lang w:val="en-US" w:eastAsia="zh-CN"/>
        </w:rPr>
        <w:t>主要分布于矿区低矮山间谷地和缓坡地带。由第四系上更新统坡积粘土、粉质粘土、碎石组成。厚度2.0～10.0m不等，碎石粒径大小不一，由上往下含量渐增，固结较好，富水性属极弱含水层。</w:t>
      </w:r>
    </w:p>
    <w:p w14:paraId="16D9EDB2">
      <w:pPr>
        <w:rPr>
          <w:rFonts w:hint="default"/>
          <w:color w:val="auto"/>
          <w:lang w:val="en-US" w:eastAsia="zh-CN"/>
        </w:rPr>
      </w:pPr>
      <w:r>
        <w:rPr>
          <w:rFonts w:hint="default"/>
          <w:color w:val="auto"/>
          <w:lang w:val="en-US" w:eastAsia="zh-CN"/>
        </w:rPr>
        <w:t>（2）基岩裂隙水含水层</w:t>
      </w:r>
    </w:p>
    <w:p w14:paraId="7B3F6B53">
      <w:pPr>
        <w:rPr>
          <w:rFonts w:hint="default"/>
          <w:color w:val="auto"/>
          <w:lang w:val="en-US" w:eastAsia="zh-CN"/>
        </w:rPr>
      </w:pPr>
      <w:r>
        <w:rPr>
          <w:rFonts w:hint="default"/>
          <w:color w:val="auto"/>
          <w:lang w:val="en-US" w:eastAsia="zh-CN"/>
        </w:rPr>
        <w:t>①风化带网状裂隙含水层</w:t>
      </w:r>
    </w:p>
    <w:p w14:paraId="4CB25D45">
      <w:pPr>
        <w:rPr>
          <w:rFonts w:hint="default"/>
          <w:color w:val="auto"/>
          <w:lang w:val="en-US" w:eastAsia="zh-CN"/>
        </w:rPr>
      </w:pPr>
      <w:r>
        <w:rPr>
          <w:rFonts w:hint="default"/>
          <w:color w:val="auto"/>
          <w:lang w:val="en-US" w:eastAsia="zh-CN"/>
        </w:rPr>
        <w:t>地下水储存空间主要为风化裂隙，富水性一般较差，主要分布于矿区中部山脊处及坡脚一带，主要由南华系下统莲沱组石英砂岩、双桥山群粉砂质板岩及细碧角斑岩顶部。风化平均深度2～5m，最大风化厚度10m左右。粉砂质板岩相对较易风化，多风化成松散状砂土和可塑状粉质粘土。石英砂岩多风化产生网状裂隙，局部风化成石英砂质角砾、碎块状。细碧角斑岩顶部经风化组织结构大部分破坏，长石等矿物已风化成土状，裂隙发育，多呈碎块状。深部岩石较完整，裂隙不甚发育，客观上起到相对隔水层作用。因此，本层可视为相对隔水层。</w:t>
      </w:r>
    </w:p>
    <w:p w14:paraId="40D75A0D">
      <w:pPr>
        <w:rPr>
          <w:rFonts w:hint="default"/>
          <w:color w:val="auto"/>
          <w:lang w:val="en-US" w:eastAsia="zh-CN"/>
        </w:rPr>
      </w:pPr>
      <w:r>
        <w:rPr>
          <w:rFonts w:hint="default"/>
          <w:color w:val="auto"/>
          <w:lang w:val="en-US" w:eastAsia="zh-CN"/>
        </w:rPr>
        <w:t>②基岩裂隙水</w:t>
      </w:r>
    </w:p>
    <w:p w14:paraId="26E4C66E">
      <w:pPr>
        <w:rPr>
          <w:rFonts w:hint="default"/>
          <w:color w:val="auto"/>
          <w:lang w:val="en-US" w:eastAsia="zh-CN"/>
        </w:rPr>
      </w:pPr>
      <w:r>
        <w:rPr>
          <w:rFonts w:hint="default"/>
          <w:color w:val="auto"/>
          <w:lang w:val="en-US" w:eastAsia="zh-CN"/>
        </w:rPr>
        <w:t>主要呈U形分布于矿区东侧及南北两侧，由南华系莲沱组石英砂岩、含砾石英砂岩及双桥山群浅变质粉砂质板岩、粉砂岩等组成。岩石较致密，节理裂隙发育一般～中等，多呈闭合状，富水性较差。基岩多裸露地表，并构成构造剥蚀低山地形的山脊和坡地，富水性弱～极弱，水质类型为重碳酸钙钠型，矿化度0.17～0.19g/L，PH值7.25～7.55，总硬度185～213mg/L，属低矿化度弱碱性水，可视为相对隔水层。</w:t>
      </w:r>
    </w:p>
    <w:p w14:paraId="11D1353F">
      <w:pPr>
        <w:rPr>
          <w:rFonts w:hint="default"/>
          <w:color w:val="auto"/>
          <w:lang w:val="en-US" w:eastAsia="zh-CN"/>
        </w:rPr>
      </w:pPr>
      <w:r>
        <w:rPr>
          <w:rFonts w:hint="eastAsia"/>
          <w:color w:val="auto"/>
          <w:lang w:val="en-US" w:eastAsia="zh-CN"/>
        </w:rPr>
        <w:t xml:space="preserve">2. </w:t>
      </w:r>
      <w:r>
        <w:rPr>
          <w:rFonts w:hint="default"/>
          <w:color w:val="auto"/>
          <w:lang w:val="en-US" w:eastAsia="zh-CN"/>
        </w:rPr>
        <w:t>水文地质条件综述</w:t>
      </w:r>
    </w:p>
    <w:p w14:paraId="7DA5152C">
      <w:pPr>
        <w:rPr>
          <w:rFonts w:hint="default"/>
          <w:color w:val="auto"/>
          <w:lang w:val="en-US" w:eastAsia="zh-CN"/>
        </w:rPr>
      </w:pPr>
      <w:r>
        <w:rPr>
          <w:rFonts w:hint="default"/>
          <w:color w:val="auto"/>
          <w:lang w:val="en-US" w:eastAsia="zh-CN"/>
        </w:rPr>
        <w:t>矿区属丘陵地貌单元，区内最低侵蚀基准面标高为+121.0m，矿区最高标高+380m，相对高差259.0m。矿体由细碧岩、细碧角斑岩、火山角砾及凝灰岩构成，岩石结构致密，岩层富水程度低，均属弱基岩裂隙含水层，主要接受大气降水的补给。矿区地形坡度有利于地下水和地表水排泄。因此，除近地表岩石较破碎，富水程度略高外，其余地段对矿床开采影响不大。矿床水文地质条件属简单型。</w:t>
      </w:r>
    </w:p>
    <w:p w14:paraId="5E40ACCB">
      <w:pPr>
        <w:pStyle w:val="4"/>
        <w:bidi w:val="0"/>
        <w:rPr>
          <w:rFonts w:hint="default"/>
          <w:color w:val="auto"/>
          <w:lang w:val="en-US" w:eastAsia="zh-CN"/>
        </w:rPr>
      </w:pPr>
      <w:bookmarkStart w:id="83" w:name="_Toc12945"/>
      <w:bookmarkStart w:id="84" w:name="_Toc6826"/>
      <w:bookmarkStart w:id="85" w:name="_Toc11895"/>
      <w:r>
        <w:rPr>
          <w:rFonts w:hint="eastAsia"/>
          <w:color w:val="auto"/>
          <w:lang w:val="en-US" w:eastAsia="zh-CN"/>
        </w:rPr>
        <w:t xml:space="preserve">2.3.3 </w:t>
      </w:r>
      <w:r>
        <w:rPr>
          <w:rFonts w:hint="default"/>
          <w:color w:val="auto"/>
          <w:lang w:val="en-US" w:eastAsia="zh-CN"/>
        </w:rPr>
        <w:t>工程地质概况</w:t>
      </w:r>
      <w:bookmarkEnd w:id="83"/>
      <w:bookmarkEnd w:id="84"/>
      <w:bookmarkEnd w:id="85"/>
    </w:p>
    <w:p w14:paraId="7546FD08">
      <w:pPr>
        <w:rPr>
          <w:rFonts w:hint="default"/>
          <w:color w:val="auto"/>
          <w:lang w:val="en-US" w:eastAsia="zh-CN"/>
        </w:rPr>
      </w:pPr>
      <w:r>
        <w:rPr>
          <w:rFonts w:hint="eastAsia"/>
          <w:color w:val="auto"/>
          <w:lang w:val="en-US" w:eastAsia="zh-CN"/>
        </w:rPr>
        <w:t xml:space="preserve">1. </w:t>
      </w:r>
      <w:r>
        <w:rPr>
          <w:rFonts w:hint="default"/>
          <w:color w:val="auto"/>
          <w:lang w:val="en-US" w:eastAsia="zh-CN"/>
        </w:rPr>
        <w:t>矿体埋藏条件及开采方式</w:t>
      </w:r>
    </w:p>
    <w:p w14:paraId="61455763">
      <w:pPr>
        <w:rPr>
          <w:rFonts w:hint="default"/>
          <w:color w:val="auto"/>
          <w:lang w:val="en-US" w:eastAsia="zh-CN"/>
        </w:rPr>
      </w:pPr>
      <w:r>
        <w:rPr>
          <w:rFonts w:hint="default"/>
          <w:color w:val="auto"/>
          <w:lang w:val="en-US" w:eastAsia="zh-CN"/>
        </w:rPr>
        <w:t>矿区范围内矿体位于丘陵地带，山脉呈北东向展布，与矿体延伸方向相差不大，山体坡度为斜坡，地势总体东高西低，水文地质条件简单，由于矿体由细碧岩、细碧角斑岩、火山角砾及凝灰岩构成，矿体部分裸露地表，出露最高标高</w:t>
      </w:r>
      <w:r>
        <w:rPr>
          <w:rFonts w:hint="eastAsia"/>
          <w:color w:val="auto"/>
          <w:lang w:val="en-US" w:eastAsia="zh-CN"/>
        </w:rPr>
        <w:t>+</w:t>
      </w:r>
      <w:r>
        <w:rPr>
          <w:rFonts w:hint="default"/>
          <w:color w:val="auto"/>
          <w:lang w:val="en-US" w:eastAsia="zh-CN"/>
        </w:rPr>
        <w:t>340m，开采基点</w:t>
      </w:r>
      <w:r>
        <w:rPr>
          <w:rFonts w:hint="eastAsia"/>
          <w:color w:val="auto"/>
          <w:lang w:val="en-US" w:eastAsia="zh-CN"/>
        </w:rPr>
        <w:t>+</w:t>
      </w:r>
      <w:r>
        <w:rPr>
          <w:rFonts w:hint="default"/>
          <w:color w:val="auto"/>
          <w:lang w:val="en-US" w:eastAsia="zh-CN"/>
        </w:rPr>
        <w:t>125m。矿体最大埋深215m，工程地质条件良好。</w:t>
      </w:r>
    </w:p>
    <w:p w14:paraId="7A792A96">
      <w:pPr>
        <w:rPr>
          <w:rFonts w:hint="default"/>
          <w:color w:val="auto"/>
          <w:lang w:val="en-US" w:eastAsia="zh-CN"/>
        </w:rPr>
      </w:pPr>
      <w:r>
        <w:rPr>
          <w:rFonts w:hint="default"/>
          <w:color w:val="auto"/>
          <w:lang w:val="en-US" w:eastAsia="zh-CN"/>
        </w:rPr>
        <w:t>2</w:t>
      </w:r>
      <w:r>
        <w:rPr>
          <w:rFonts w:hint="eastAsia"/>
          <w:color w:val="auto"/>
          <w:lang w:val="en-US" w:eastAsia="zh-CN"/>
        </w:rPr>
        <w:t>.</w:t>
      </w:r>
      <w:r>
        <w:rPr>
          <w:rFonts w:hint="default"/>
          <w:color w:val="auto"/>
          <w:lang w:val="en-US" w:eastAsia="zh-CN"/>
        </w:rPr>
        <w:t xml:space="preserve"> 岩石物理力学性质</w:t>
      </w:r>
    </w:p>
    <w:p w14:paraId="1F0D667D">
      <w:pPr>
        <w:rPr>
          <w:rFonts w:hint="default"/>
          <w:color w:val="auto"/>
          <w:lang w:val="en-US" w:eastAsia="zh-CN"/>
        </w:rPr>
      </w:pPr>
      <w:r>
        <w:rPr>
          <w:rFonts w:hint="default"/>
          <w:color w:val="auto"/>
          <w:lang w:val="en-US" w:eastAsia="zh-CN"/>
        </w:rPr>
        <w:t>矿山于2017年12月7日委托广东交通集团监测中心对岩石物理性能及单轴抗压强度进行试验监测，试验报告显示矿岩吸水率为0.28％，饱和吸水率为0.37％，饱和抗压强度为191MPa，碎石压碎指标为6％，针片状颗粒含量为1％，含泥量为0.2％。</w:t>
      </w:r>
    </w:p>
    <w:p w14:paraId="3396585E">
      <w:pPr>
        <w:rPr>
          <w:rFonts w:hint="default"/>
          <w:color w:val="auto"/>
          <w:lang w:val="en-US" w:eastAsia="zh-CN"/>
        </w:rPr>
      </w:pPr>
      <w:r>
        <w:rPr>
          <w:rFonts w:hint="default"/>
          <w:color w:val="auto"/>
          <w:lang w:val="en-US" w:eastAsia="zh-CN"/>
        </w:rPr>
        <w:t>矿山于2018年1月23日委托江西省勘察设计研究院测试中心对岩石进行试验，岩石试验报告显示岩石密度为2.79g/cm</w:t>
      </w:r>
      <w:r>
        <w:rPr>
          <w:rFonts w:hint="default"/>
          <w:color w:val="auto"/>
          <w:vertAlign w:val="superscript"/>
          <w:lang w:val="en-US" w:eastAsia="zh-CN"/>
        </w:rPr>
        <w:t>3</w:t>
      </w:r>
      <w:r>
        <w:rPr>
          <w:rFonts w:hint="eastAsia"/>
          <w:color w:val="auto"/>
          <w:lang w:val="en-US" w:eastAsia="zh-CN"/>
        </w:rPr>
        <w:t>，</w:t>
      </w:r>
      <w:r>
        <w:rPr>
          <w:rFonts w:hint="default"/>
          <w:color w:val="auto"/>
          <w:lang w:val="en-US" w:eastAsia="zh-CN"/>
        </w:rPr>
        <w:t>凝聚力为7.67MPa，内摩擦角为44</w:t>
      </w:r>
      <w:r>
        <w:rPr>
          <w:rFonts w:hint="eastAsia" w:ascii="宋体" w:hAnsi="宋体" w:eastAsia="宋体" w:cs="宋体"/>
          <w:color w:val="auto"/>
          <w:lang w:val="en-US" w:eastAsia="zh-CN"/>
        </w:rPr>
        <w:t>°</w:t>
      </w:r>
      <w:r>
        <w:rPr>
          <w:rFonts w:hint="default"/>
          <w:color w:val="auto"/>
          <w:lang w:val="en-US" w:eastAsia="zh-CN"/>
        </w:rPr>
        <w:t>，弹性模量为28.29，泊桑系数为0.2。</w:t>
      </w:r>
    </w:p>
    <w:p w14:paraId="22436FC5">
      <w:pPr>
        <w:rPr>
          <w:rFonts w:hint="default"/>
          <w:color w:val="auto"/>
          <w:lang w:val="en-US" w:eastAsia="zh-CN"/>
        </w:rPr>
      </w:pPr>
      <w:r>
        <w:rPr>
          <w:rFonts w:hint="default"/>
          <w:color w:val="auto"/>
          <w:lang w:val="en-US" w:eastAsia="zh-CN"/>
        </w:rPr>
        <w:t>3</w:t>
      </w:r>
      <w:r>
        <w:rPr>
          <w:rFonts w:hint="eastAsia"/>
          <w:color w:val="auto"/>
          <w:lang w:val="en-US" w:eastAsia="zh-CN"/>
        </w:rPr>
        <w:t xml:space="preserve">. </w:t>
      </w:r>
      <w:r>
        <w:rPr>
          <w:rFonts w:hint="default"/>
          <w:color w:val="auto"/>
          <w:lang w:val="en-US" w:eastAsia="zh-CN"/>
        </w:rPr>
        <w:t>工程地质条件综述</w:t>
      </w:r>
    </w:p>
    <w:p w14:paraId="6E5B6E69">
      <w:pPr>
        <w:rPr>
          <w:rFonts w:hint="default"/>
          <w:color w:val="auto"/>
          <w:lang w:val="en-US" w:eastAsia="zh-CN"/>
        </w:rPr>
      </w:pPr>
      <w:r>
        <w:rPr>
          <w:rFonts w:hint="default"/>
          <w:color w:val="auto"/>
          <w:lang w:val="en-US" w:eastAsia="zh-CN"/>
        </w:rPr>
        <w:t>根据矿区地形地貌及环境水文气候条件，结合岩石的工程地质特点和岩石结构性质，以及岩石强度性能，可划分为以下三个工程地质岩区。</w:t>
      </w:r>
    </w:p>
    <w:p w14:paraId="15E04595">
      <w:pPr>
        <w:rPr>
          <w:rFonts w:hint="default"/>
          <w:color w:val="auto"/>
          <w:lang w:val="en-US" w:eastAsia="zh-CN"/>
        </w:rPr>
      </w:pPr>
      <w:r>
        <w:rPr>
          <w:rFonts w:hint="default"/>
          <w:color w:val="auto"/>
          <w:lang w:val="en-US" w:eastAsia="zh-CN"/>
        </w:rPr>
        <w:t>（1）松散粘结岩区：分布于矿区沟谷和山坡低洼处</w:t>
      </w:r>
      <w:r>
        <w:rPr>
          <w:rFonts w:hint="eastAsia"/>
          <w:color w:val="auto"/>
          <w:lang w:val="en-US" w:eastAsia="zh-CN"/>
        </w:rPr>
        <w:t>，</w:t>
      </w:r>
      <w:r>
        <w:rPr>
          <w:rFonts w:hint="default"/>
          <w:color w:val="auto"/>
          <w:lang w:val="en-US" w:eastAsia="zh-CN"/>
        </w:rPr>
        <w:t>由冲积物及残坡积物组成，其岩性为含砂亚粘土、粘土、砂砾碎石层</w:t>
      </w:r>
      <w:r>
        <w:rPr>
          <w:rFonts w:hint="eastAsia"/>
          <w:color w:val="auto"/>
          <w:lang w:val="en-US" w:eastAsia="zh-CN"/>
        </w:rPr>
        <w:t>，</w:t>
      </w:r>
      <w:r>
        <w:rPr>
          <w:rFonts w:hint="default"/>
          <w:color w:val="auto"/>
          <w:lang w:val="en-US" w:eastAsia="zh-CN"/>
        </w:rPr>
        <w:t>厚度0～10m。固结松散，强度低。</w:t>
      </w:r>
    </w:p>
    <w:p w14:paraId="402DD552">
      <w:pPr>
        <w:rPr>
          <w:rFonts w:hint="default"/>
          <w:color w:val="auto"/>
          <w:lang w:val="en-US" w:eastAsia="zh-CN"/>
        </w:rPr>
      </w:pPr>
      <w:r>
        <w:rPr>
          <w:rFonts w:hint="default"/>
          <w:color w:val="auto"/>
          <w:lang w:val="en-US" w:eastAsia="zh-CN"/>
        </w:rPr>
        <w:t>（2）坚硬碎屑岩组：分布于矿区的东侧和西侧，主要发育于南华系系南沱组、莲沱组地层中。岩性为凝灰质粉砂岩、石英砂岩、石英砂砾岩等组成。除局部由于构造岩石风化破碎，强度减弱外，一般坚硬完整，强度高。岩石质地致密坚硬，不可压缩，浸水不易软化。该类岩石含构造裂隙水或基岩裂隙水，水质以弱碱性低矿化度重碳酸钙型中性水。对混凝土无腐蚀性，岩石稳定性好。</w:t>
      </w:r>
    </w:p>
    <w:p w14:paraId="5173DA39">
      <w:pPr>
        <w:rPr>
          <w:rFonts w:hint="default"/>
          <w:color w:val="auto"/>
          <w:lang w:val="en-US" w:eastAsia="zh-CN"/>
        </w:rPr>
      </w:pPr>
      <w:r>
        <w:rPr>
          <w:rFonts w:hint="default"/>
          <w:color w:val="auto"/>
          <w:lang w:val="en-US" w:eastAsia="zh-CN"/>
        </w:rPr>
        <w:t>（3）坚硬火山岩组：分布于矿区中部至西部，顺层产于双桥山群粉砂质板岩中，岩性为一套由细碧岩、细碧角斑岩、火山角砾及凝灰岩的火山喷发～沉积韵律构成。除局部由于构造岩石风化破碎，强度减弱外，一般坚硬完整，强度高。该类岩石含构造裂隙水或基岩裂隙水，水质以弱碱性低矿化度重碳酸钙型中性水。对混凝土无腐蚀性，岩石稳定性好。</w:t>
      </w:r>
    </w:p>
    <w:p w14:paraId="4B587A3E">
      <w:pPr>
        <w:rPr>
          <w:rFonts w:hint="default"/>
          <w:color w:val="auto"/>
          <w:lang w:val="en-US" w:eastAsia="zh-CN"/>
        </w:rPr>
      </w:pPr>
      <w:r>
        <w:rPr>
          <w:rFonts w:hint="default"/>
          <w:color w:val="auto"/>
          <w:lang w:val="en-US" w:eastAsia="zh-CN"/>
        </w:rPr>
        <w:t>矿区岩石主要以坚硬火山岩组为主，岩石结构致密，硬度较高，且厚度大，构造简单。区内未发现大的构造破碎带，发育的小型裂隙或节理，对矿床露天开采影响不大。仅在局部地段风化强烈处距矿体距离安全厚度减小，易引发塌陷、跨落等工程地质问题。当露天剥采到此处时，应采取相应的防护措施，确保施工安全。总体矿床开采工程地质条件属简单型。</w:t>
      </w:r>
    </w:p>
    <w:p w14:paraId="17429340">
      <w:pPr>
        <w:pStyle w:val="4"/>
        <w:bidi w:val="0"/>
        <w:rPr>
          <w:rFonts w:hint="default"/>
          <w:color w:val="auto"/>
          <w:lang w:val="en-US" w:eastAsia="zh-CN"/>
        </w:rPr>
      </w:pPr>
      <w:bookmarkStart w:id="86" w:name="_Toc8159"/>
      <w:bookmarkStart w:id="87" w:name="_Toc7641"/>
      <w:bookmarkStart w:id="88" w:name="_Toc10970"/>
      <w:r>
        <w:rPr>
          <w:rFonts w:hint="eastAsia"/>
          <w:color w:val="auto"/>
          <w:lang w:val="en-US" w:eastAsia="zh-CN"/>
        </w:rPr>
        <w:t>2.3.4 矿床地质概况</w:t>
      </w:r>
      <w:bookmarkEnd w:id="86"/>
      <w:bookmarkEnd w:id="87"/>
      <w:bookmarkEnd w:id="88"/>
    </w:p>
    <w:p w14:paraId="050A53CB">
      <w:pPr>
        <w:rPr>
          <w:rFonts w:hint="default"/>
          <w:color w:val="auto"/>
          <w:lang w:val="en-US" w:eastAsia="zh-CN"/>
        </w:rPr>
      </w:pPr>
      <w:r>
        <w:rPr>
          <w:rFonts w:hint="default"/>
          <w:color w:val="auto"/>
          <w:lang w:val="en-US" w:eastAsia="zh-CN"/>
        </w:rPr>
        <w:t>区内矿体走向长200m，延伸方向长440m，出露厚度70～135m。倾向245</w:t>
      </w:r>
      <w:r>
        <w:rPr>
          <w:rFonts w:hint="eastAsia" w:ascii="宋体" w:hAnsi="宋体" w:eastAsia="宋体" w:cs="宋体"/>
          <w:color w:val="auto"/>
          <w:lang w:val="en-US" w:eastAsia="zh-CN"/>
        </w:rPr>
        <w:t>°</w:t>
      </w:r>
      <w:r>
        <w:rPr>
          <w:rFonts w:hint="default"/>
          <w:color w:val="auto"/>
          <w:lang w:val="en-US" w:eastAsia="zh-CN"/>
        </w:rPr>
        <w:t>～290</w:t>
      </w:r>
      <w:r>
        <w:rPr>
          <w:rFonts w:hint="eastAsia" w:ascii="宋体" w:hAnsi="宋体" w:eastAsia="宋体" w:cs="宋体"/>
          <w:color w:val="auto"/>
          <w:lang w:val="en-US" w:eastAsia="zh-CN"/>
        </w:rPr>
        <w:t>°</w:t>
      </w:r>
      <w:r>
        <w:rPr>
          <w:rFonts w:hint="default"/>
          <w:color w:val="auto"/>
          <w:lang w:val="en-US" w:eastAsia="zh-CN"/>
        </w:rPr>
        <w:t>，倾角15</w:t>
      </w:r>
      <w:r>
        <w:rPr>
          <w:rFonts w:hint="eastAsia" w:ascii="宋体" w:hAnsi="宋体" w:eastAsia="宋体" w:cs="宋体"/>
          <w:color w:val="auto"/>
          <w:lang w:val="en-US" w:eastAsia="zh-CN"/>
        </w:rPr>
        <w:t>°</w:t>
      </w:r>
      <w:r>
        <w:rPr>
          <w:rFonts w:hint="default"/>
          <w:color w:val="auto"/>
          <w:lang w:val="en-US" w:eastAsia="zh-CN"/>
        </w:rPr>
        <w:t>～30</w:t>
      </w:r>
      <w:r>
        <w:rPr>
          <w:rFonts w:hint="eastAsia" w:ascii="宋体" w:hAnsi="宋体" w:eastAsia="宋体" w:cs="宋体"/>
          <w:color w:val="auto"/>
          <w:lang w:val="en-US" w:eastAsia="zh-CN"/>
        </w:rPr>
        <w:t>°</w:t>
      </w:r>
      <w:r>
        <w:rPr>
          <w:rFonts w:hint="default"/>
          <w:color w:val="auto"/>
          <w:lang w:val="en-US" w:eastAsia="zh-CN"/>
        </w:rPr>
        <w:t>。矿体分布稳定呈层状似层状分布在双桥山群浅变质岩顶部，整合接触。矿体产状与地形起伏近乎一致。矿体上覆表土和风化双桥山群浅变质岩，覆盖层厚2～10m不等。</w:t>
      </w:r>
    </w:p>
    <w:p w14:paraId="6C4C4C0C">
      <w:pPr>
        <w:rPr>
          <w:rFonts w:hint="default"/>
          <w:color w:val="auto"/>
          <w:lang w:val="en-US" w:eastAsia="zh-CN"/>
        </w:rPr>
      </w:pPr>
      <w:r>
        <w:rPr>
          <w:rFonts w:hint="default"/>
          <w:color w:val="auto"/>
          <w:lang w:val="en-US" w:eastAsia="zh-CN"/>
        </w:rPr>
        <w:t>矿体主要由细碧岩、细碧角斑岩、火山角砾及凝灰岩组成，呈层（席）状与双桥山群砂泥质沉积岩相间产出，为一套海相古火山喷发沉积建造。根据其物性特征及建筑用石料矿石用途可大体将其分为优质石料矿体（中粒细碧岩和细碧角斑岩）和普通石料矿体（细粒细碧岩和凝灰岩）。在目前控制的矿体中，各类型矿体均可见2～4层，以相间互层形式产出，其层位由下往上依次为凝灰岩、细粒细碧岩、细碧角斑岩、中粒细碧岩。其中中粒细碧岩和细碧角斑岩岩性及物性特征相似，且在层位上直接接触，故本次工作将其视为同一矿体M1，而细粒细碧岩和凝灰岩岩性特征和赋存部位均有较大区别，故分为两个矿体，分别定为M2、M3。</w:t>
      </w:r>
    </w:p>
    <w:p w14:paraId="131C1F07">
      <w:pPr>
        <w:rPr>
          <w:rFonts w:hint="default"/>
          <w:color w:val="auto"/>
          <w:lang w:val="en-US" w:eastAsia="zh-CN"/>
        </w:rPr>
      </w:pPr>
      <w:r>
        <w:rPr>
          <w:rFonts w:hint="default"/>
          <w:color w:val="auto"/>
          <w:lang w:val="en-US" w:eastAsia="zh-CN"/>
        </w:rPr>
        <w:t>M1矿体：由中粒细碧岩和细碧角斑岩组成。为矿区主要矿体，倾向245</w:t>
      </w:r>
      <w:r>
        <w:rPr>
          <w:rFonts w:hint="eastAsia" w:ascii="宋体" w:hAnsi="宋体" w:eastAsia="宋体" w:cs="宋体"/>
          <w:color w:val="auto"/>
          <w:lang w:val="en-US" w:eastAsia="zh-CN"/>
        </w:rPr>
        <w:t>°</w:t>
      </w:r>
      <w:r>
        <w:rPr>
          <w:rFonts w:hint="default"/>
          <w:color w:val="auto"/>
          <w:lang w:val="en-US" w:eastAsia="zh-CN"/>
        </w:rPr>
        <w:t>～290</w:t>
      </w:r>
      <w:r>
        <w:rPr>
          <w:rFonts w:hint="eastAsia" w:ascii="宋体" w:hAnsi="宋体" w:eastAsia="宋体" w:cs="宋体"/>
          <w:color w:val="auto"/>
          <w:lang w:val="en-US" w:eastAsia="zh-CN"/>
        </w:rPr>
        <w:t>°</w:t>
      </w:r>
      <w:r>
        <w:rPr>
          <w:rFonts w:hint="default"/>
          <w:color w:val="auto"/>
          <w:lang w:val="en-US" w:eastAsia="zh-CN"/>
        </w:rPr>
        <w:t>，倾角10</w:t>
      </w:r>
      <w:r>
        <w:rPr>
          <w:rFonts w:hint="eastAsia" w:ascii="宋体" w:hAnsi="宋体" w:eastAsia="宋体" w:cs="宋体"/>
          <w:color w:val="auto"/>
          <w:lang w:val="en-US" w:eastAsia="zh-CN"/>
        </w:rPr>
        <w:t>°</w:t>
      </w:r>
      <w:r>
        <w:rPr>
          <w:rFonts w:hint="default"/>
          <w:color w:val="auto"/>
          <w:lang w:val="en-US" w:eastAsia="zh-CN"/>
        </w:rPr>
        <w:t>～25</w:t>
      </w:r>
      <w:r>
        <w:rPr>
          <w:rFonts w:hint="eastAsia" w:ascii="宋体" w:hAnsi="宋体" w:eastAsia="宋体" w:cs="宋体"/>
          <w:color w:val="auto"/>
          <w:lang w:val="en-US" w:eastAsia="zh-CN"/>
        </w:rPr>
        <w:t>°</w:t>
      </w:r>
      <w:r>
        <w:rPr>
          <w:rFonts w:hint="default"/>
          <w:color w:val="auto"/>
          <w:lang w:val="en-US" w:eastAsia="zh-CN"/>
        </w:rPr>
        <w:t>，共4层，第一层呈层状、似层状顺层产于青白口系双桥山群顶部粉砂质板岩之下，厚度25～60m。后三层与M2、M3相间互层产出，厚度20～30m不等。根据矿山实际销售需求结合矿石物性特征判定其为优质石料矿体，矿石可用作高速公路垫层，销售价格高于普通石料。</w:t>
      </w:r>
    </w:p>
    <w:p w14:paraId="56CD8136">
      <w:pPr>
        <w:rPr>
          <w:rFonts w:hint="default"/>
          <w:color w:val="auto"/>
          <w:lang w:val="en-US" w:eastAsia="zh-CN"/>
        </w:rPr>
      </w:pPr>
      <w:r>
        <w:rPr>
          <w:rFonts w:hint="default"/>
          <w:color w:val="auto"/>
          <w:lang w:val="en-US" w:eastAsia="zh-CN"/>
        </w:rPr>
        <w:t>M2矿体：由细粒细碧岩组成。倾向245</w:t>
      </w:r>
      <w:r>
        <w:rPr>
          <w:rFonts w:hint="eastAsia" w:ascii="宋体" w:hAnsi="宋体" w:eastAsia="宋体" w:cs="宋体"/>
          <w:color w:val="auto"/>
          <w:lang w:val="en-US" w:eastAsia="zh-CN"/>
        </w:rPr>
        <w:t>°</w:t>
      </w:r>
      <w:r>
        <w:rPr>
          <w:rFonts w:hint="default"/>
          <w:color w:val="auto"/>
          <w:lang w:val="en-US" w:eastAsia="zh-CN"/>
        </w:rPr>
        <w:t>～290</w:t>
      </w:r>
      <w:r>
        <w:rPr>
          <w:rFonts w:hint="eastAsia" w:ascii="宋体" w:hAnsi="宋体" w:eastAsia="宋体" w:cs="宋体"/>
          <w:color w:val="auto"/>
          <w:lang w:val="en-US" w:eastAsia="zh-CN"/>
        </w:rPr>
        <w:t>°</w:t>
      </w:r>
      <w:r>
        <w:rPr>
          <w:rFonts w:hint="default"/>
          <w:color w:val="auto"/>
          <w:lang w:val="en-US" w:eastAsia="zh-CN"/>
        </w:rPr>
        <w:t>，倾角10</w:t>
      </w:r>
      <w:r>
        <w:rPr>
          <w:rFonts w:hint="eastAsia" w:ascii="宋体" w:hAnsi="宋体" w:eastAsia="宋体" w:cs="宋体"/>
          <w:color w:val="auto"/>
          <w:lang w:val="en-US" w:eastAsia="zh-CN"/>
        </w:rPr>
        <w:t>°</w:t>
      </w:r>
      <w:r>
        <w:rPr>
          <w:rFonts w:hint="default"/>
          <w:color w:val="auto"/>
          <w:lang w:val="en-US" w:eastAsia="zh-CN"/>
        </w:rPr>
        <w:t>～25</w:t>
      </w:r>
      <w:r>
        <w:rPr>
          <w:rFonts w:hint="eastAsia" w:ascii="宋体" w:hAnsi="宋体" w:eastAsia="宋体" w:cs="宋体"/>
          <w:color w:val="auto"/>
          <w:lang w:val="en-US" w:eastAsia="zh-CN"/>
        </w:rPr>
        <w:t>°</w:t>
      </w:r>
      <w:r>
        <w:rPr>
          <w:rFonts w:hint="default"/>
          <w:color w:val="auto"/>
          <w:lang w:val="en-US" w:eastAsia="zh-CN"/>
        </w:rPr>
        <w:t>，呈层状、席状以单独形式或与M3矿体一起顺层产于M1层位之间，为M1矿体的隔断层位，厚度10～20m不等，局部出露厚度可达50m。</w:t>
      </w:r>
    </w:p>
    <w:p w14:paraId="5D0F7462">
      <w:pPr>
        <w:rPr>
          <w:rFonts w:hint="default"/>
          <w:color w:val="auto"/>
          <w:lang w:val="en-US" w:eastAsia="zh-CN"/>
        </w:rPr>
      </w:pPr>
      <w:r>
        <w:rPr>
          <w:rFonts w:hint="default"/>
          <w:color w:val="auto"/>
          <w:lang w:val="en-US" w:eastAsia="zh-CN"/>
        </w:rPr>
        <w:t>M3矿体：以凝灰岩为主，断续夹2～5m火山角砾岩，偶夹0.5～1.0m细碧岩和角斑岩，局部硅质含量较高。倾向245</w:t>
      </w:r>
      <w:r>
        <w:rPr>
          <w:rFonts w:hint="eastAsia" w:ascii="宋体" w:hAnsi="宋体" w:eastAsia="宋体" w:cs="宋体"/>
          <w:color w:val="auto"/>
          <w:lang w:val="en-US" w:eastAsia="zh-CN"/>
        </w:rPr>
        <w:t>°</w:t>
      </w:r>
      <w:r>
        <w:rPr>
          <w:rFonts w:hint="default"/>
          <w:color w:val="auto"/>
          <w:lang w:val="en-US" w:eastAsia="zh-CN"/>
        </w:rPr>
        <w:t>～290</w:t>
      </w:r>
      <w:r>
        <w:rPr>
          <w:rFonts w:hint="eastAsia" w:ascii="宋体" w:hAnsi="宋体" w:eastAsia="宋体" w:cs="宋体"/>
          <w:color w:val="auto"/>
          <w:lang w:val="en-US" w:eastAsia="zh-CN"/>
        </w:rPr>
        <w:t>°</w:t>
      </w:r>
      <w:r>
        <w:rPr>
          <w:rFonts w:hint="default"/>
          <w:color w:val="auto"/>
          <w:lang w:val="en-US" w:eastAsia="zh-CN"/>
        </w:rPr>
        <w:t>，倾角10</w:t>
      </w:r>
      <w:r>
        <w:rPr>
          <w:rFonts w:hint="eastAsia" w:ascii="宋体" w:hAnsi="宋体" w:eastAsia="宋体" w:cs="宋体"/>
          <w:color w:val="auto"/>
          <w:lang w:val="en-US" w:eastAsia="zh-CN"/>
        </w:rPr>
        <w:t>°</w:t>
      </w:r>
      <w:r>
        <w:rPr>
          <w:rFonts w:hint="default"/>
          <w:color w:val="auto"/>
          <w:lang w:val="en-US" w:eastAsia="zh-CN"/>
        </w:rPr>
        <w:t>～25</w:t>
      </w:r>
      <w:r>
        <w:rPr>
          <w:rFonts w:hint="eastAsia" w:ascii="宋体" w:hAnsi="宋体" w:eastAsia="宋体" w:cs="宋体"/>
          <w:color w:val="auto"/>
          <w:lang w:val="en-US" w:eastAsia="zh-CN"/>
        </w:rPr>
        <w:t>°</w:t>
      </w:r>
      <w:r>
        <w:rPr>
          <w:rFonts w:hint="default"/>
          <w:color w:val="auto"/>
          <w:lang w:val="en-US" w:eastAsia="zh-CN"/>
        </w:rPr>
        <w:t>，呈似层状、透镜体以单独形式或与M2矿体一起顺层产于M1层位之间，为M1矿体的隔断层位，厚度5～45m。</w:t>
      </w:r>
    </w:p>
    <w:p w14:paraId="2E1D6D10">
      <w:pPr>
        <w:rPr>
          <w:rFonts w:hint="default"/>
          <w:color w:val="auto"/>
          <w:lang w:val="en-US" w:eastAsia="zh-CN"/>
        </w:rPr>
      </w:pPr>
      <w:r>
        <w:rPr>
          <w:rFonts w:hint="default"/>
          <w:color w:val="auto"/>
          <w:lang w:val="en-US" w:eastAsia="zh-CN"/>
        </w:rPr>
        <w:t>根据矿山实际销售需求结合矿石物性特征，其与M2矿体均判定为普通石料矿体，矿石不能用作高速公路垫层，仅用于一般建筑用石料。</w:t>
      </w:r>
    </w:p>
    <w:p w14:paraId="21FF2640">
      <w:pPr>
        <w:rPr>
          <w:rFonts w:hint="default"/>
          <w:color w:val="auto"/>
          <w:lang w:val="en-US" w:eastAsia="zh-CN"/>
        </w:rPr>
      </w:pPr>
      <w:r>
        <w:rPr>
          <w:rFonts w:hint="default"/>
          <w:color w:val="auto"/>
          <w:lang w:val="en-US" w:eastAsia="zh-CN"/>
        </w:rPr>
        <w:t>区内构造较简单，仅发育一些微小构造，对矿体破坏影响程度极小。矿体中未见厚大夹层和脉岩。</w:t>
      </w:r>
    </w:p>
    <w:p w14:paraId="4BA39F9C">
      <w:pPr>
        <w:pStyle w:val="3"/>
        <w:bidi w:val="0"/>
        <w:rPr>
          <w:rFonts w:hint="default"/>
          <w:color w:val="auto"/>
          <w:lang w:val="en-US" w:eastAsia="zh-CN"/>
        </w:rPr>
      </w:pPr>
      <w:bookmarkStart w:id="89" w:name="_Toc20095"/>
      <w:bookmarkStart w:id="90" w:name="_Toc2117"/>
      <w:bookmarkStart w:id="91" w:name="_Toc27306"/>
      <w:r>
        <w:rPr>
          <w:rFonts w:hint="default"/>
          <w:color w:val="auto"/>
          <w:lang w:val="en-US" w:eastAsia="zh-CN"/>
        </w:rPr>
        <w:t>2.</w:t>
      </w:r>
      <w:r>
        <w:rPr>
          <w:rFonts w:hint="eastAsia"/>
          <w:color w:val="auto"/>
          <w:lang w:val="en-US" w:eastAsia="zh-CN"/>
        </w:rPr>
        <w:t>4</w:t>
      </w:r>
      <w:r>
        <w:rPr>
          <w:rFonts w:hint="default"/>
          <w:color w:val="auto"/>
          <w:lang w:val="en-US" w:eastAsia="zh-CN"/>
        </w:rPr>
        <w:t xml:space="preserve"> 矿山生产现状</w:t>
      </w:r>
      <w:bookmarkEnd w:id="89"/>
      <w:bookmarkEnd w:id="90"/>
      <w:bookmarkEnd w:id="91"/>
    </w:p>
    <w:p w14:paraId="576E6B82">
      <w:pPr>
        <w:pStyle w:val="4"/>
        <w:bidi w:val="0"/>
        <w:rPr>
          <w:rFonts w:hint="default"/>
          <w:color w:val="auto"/>
          <w:lang w:val="en-US" w:eastAsia="zh-CN"/>
        </w:rPr>
      </w:pPr>
      <w:bookmarkStart w:id="92" w:name="_Toc5979"/>
      <w:bookmarkStart w:id="93" w:name="_Toc13462"/>
      <w:bookmarkStart w:id="94" w:name="_Toc1792"/>
      <w:r>
        <w:rPr>
          <w:rFonts w:hint="eastAsia"/>
          <w:color w:val="auto"/>
          <w:lang w:val="en-US" w:eastAsia="zh-CN"/>
        </w:rPr>
        <w:t>2.4.1 设计情况</w:t>
      </w:r>
      <w:bookmarkEnd w:id="92"/>
      <w:bookmarkEnd w:id="93"/>
      <w:bookmarkEnd w:id="94"/>
    </w:p>
    <w:p w14:paraId="67725205">
      <w:pP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 xml:space="preserve">1. </w:t>
      </w:r>
      <w:r>
        <w:rPr>
          <w:rFonts w:hint="default" w:ascii="Times New Roman" w:hAnsi="Times New Roman" w:eastAsia="宋体" w:cs="Times New Roman"/>
          <w:color w:val="auto"/>
          <w:lang w:val="en-US" w:eastAsia="zh-CN"/>
        </w:rPr>
        <w:t>设计范围</w:t>
      </w:r>
    </w:p>
    <w:p w14:paraId="66D7FC94">
      <w:p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垂直范围</w:t>
      </w: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lang w:val="en-US" w:eastAsia="zh-CN"/>
        </w:rPr>
        <w:t>开采深度+380m至+195m标高</w:t>
      </w:r>
      <w:r>
        <w:rPr>
          <w:rFonts w:hint="eastAsia" w:ascii="Times New Roman" w:hAnsi="Times New Roman" w:eastAsia="宋体" w:cs="Times New Roman"/>
          <w:color w:val="auto"/>
          <w:lang w:val="en-US" w:eastAsia="zh-CN"/>
        </w:rPr>
        <w:t>；</w:t>
      </w:r>
    </w:p>
    <w:p w14:paraId="3CAB59B8">
      <w:p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平面范围</w:t>
      </w: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lang w:val="en-US" w:eastAsia="zh-CN"/>
        </w:rPr>
        <w:t>采矿许可证范围</w:t>
      </w:r>
      <w:r>
        <w:rPr>
          <w:rFonts w:hint="eastAsia" w:ascii="Times New Roman" w:hAnsi="Times New Roman" w:eastAsia="宋体" w:cs="Times New Roman"/>
          <w:color w:val="auto"/>
          <w:lang w:val="en-US" w:eastAsia="zh-CN"/>
        </w:rPr>
        <w:t>（详见</w:t>
      </w:r>
      <w:r>
        <w:rPr>
          <w:rFonts w:hint="default" w:ascii="Times New Roman" w:hAnsi="Times New Roman" w:eastAsia="宋体" w:cs="Times New Roman"/>
          <w:color w:val="auto"/>
          <w:lang w:val="en-US" w:eastAsia="zh-CN"/>
        </w:rPr>
        <w:t>表2</w:t>
      </w:r>
      <w:r>
        <w:rPr>
          <w:rFonts w:hint="eastAsia" w:ascii="Times New Roman" w:hAnsi="Times New Roman" w:eastAsia="宋体" w:cs="Times New Roman"/>
          <w:color w:val="auto"/>
          <w:lang w:val="en-US" w:eastAsia="zh-CN"/>
        </w:rPr>
        <w:t>.1</w:t>
      </w:r>
      <w:r>
        <w:rPr>
          <w:rFonts w:hint="default" w:ascii="Times New Roman" w:hAnsi="Times New Roman" w:eastAsia="宋体" w:cs="Times New Roman"/>
          <w:color w:val="auto"/>
          <w:lang w:val="en-US" w:eastAsia="zh-CN"/>
        </w:rPr>
        <w:t>-2</w:t>
      </w:r>
      <w:r>
        <w:rPr>
          <w:rFonts w:hint="eastAsia" w:ascii="Times New Roman" w:hAnsi="Times New Roman" w:eastAsia="宋体" w:cs="Times New Roman"/>
          <w:color w:val="auto"/>
          <w:lang w:val="en-US" w:eastAsia="zh-CN"/>
        </w:rPr>
        <w:t>）。</w:t>
      </w:r>
    </w:p>
    <w:p w14:paraId="44A5660A">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w:t>
      </w:r>
      <w:r>
        <w:rPr>
          <w:rFonts w:hint="eastAsia"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lang w:val="en-US" w:eastAsia="zh-CN"/>
        </w:rPr>
        <w:t>总图运输</w:t>
      </w:r>
    </w:p>
    <w:p w14:paraId="12321B41">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矿区工业场地主要有高位水池、露天采场、破碎场地</w:t>
      </w:r>
      <w:r>
        <w:rPr>
          <w:rFonts w:hint="eastAsia" w:ascii="Times New Roman" w:hAnsi="Times New Roman" w:eastAsia="宋体" w:cs="Times New Roman"/>
          <w:color w:val="auto"/>
          <w:lang w:val="en-US" w:eastAsia="zh-CN"/>
        </w:rPr>
        <w:t>、生活区、</w:t>
      </w:r>
      <w:r>
        <w:rPr>
          <w:rFonts w:hint="default" w:ascii="Times New Roman" w:hAnsi="Times New Roman" w:eastAsia="宋体" w:cs="Times New Roman"/>
          <w:color w:val="auto"/>
          <w:lang w:val="en-US" w:eastAsia="zh-CN"/>
        </w:rPr>
        <w:t>排土场</w:t>
      </w:r>
      <w:r>
        <w:rPr>
          <w:rFonts w:hint="eastAsia" w:ascii="Times New Roman" w:hAnsi="Times New Roman" w:eastAsia="宋体" w:cs="Times New Roman"/>
          <w:color w:val="auto"/>
          <w:lang w:val="en-US" w:eastAsia="zh-CN"/>
        </w:rPr>
        <w:t>、材料库与</w:t>
      </w:r>
      <w:r>
        <w:rPr>
          <w:rFonts w:hint="default" w:ascii="Times New Roman" w:hAnsi="Times New Roman" w:eastAsia="宋体" w:cs="Times New Roman"/>
          <w:color w:val="auto"/>
          <w:lang w:val="en-US" w:eastAsia="zh-CN"/>
        </w:rPr>
        <w:t>配电房等。</w:t>
      </w:r>
    </w:p>
    <w:p w14:paraId="6E6760C0">
      <w:pP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（1）高位水池</w:t>
      </w:r>
    </w:p>
    <w:p w14:paraId="5266B46B">
      <w:pP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高位水池布置在矿区北侧+257m标高处，水池容积</w:t>
      </w:r>
      <w:r>
        <w:rPr>
          <w:rFonts w:hint="eastAsia" w:cs="Times New Roman"/>
          <w:color w:val="auto"/>
          <w:lang w:val="en-US" w:eastAsia="zh-CN"/>
        </w:rPr>
        <w:t>332</w:t>
      </w:r>
      <w:r>
        <w:rPr>
          <w:rFonts w:hint="eastAsia" w:ascii="Times New Roman" w:hAnsi="Times New Roman" w:eastAsia="宋体" w:cs="Times New Roman"/>
          <w:color w:val="auto"/>
          <w:lang w:val="en-US" w:eastAsia="zh-CN"/>
        </w:rPr>
        <w:t>m</w:t>
      </w:r>
      <w:r>
        <w:rPr>
          <w:rFonts w:hint="eastAsia" w:ascii="Times New Roman" w:hAnsi="Times New Roman" w:eastAsia="宋体" w:cs="Times New Roman"/>
          <w:color w:val="auto"/>
          <w:vertAlign w:val="superscript"/>
          <w:lang w:val="en-US" w:eastAsia="zh-CN"/>
        </w:rPr>
        <w:t>3</w:t>
      </w:r>
      <w:r>
        <w:rPr>
          <w:rFonts w:hint="eastAsia" w:ascii="Times New Roman" w:hAnsi="Times New Roman" w:eastAsia="宋体" w:cs="Times New Roman"/>
          <w:color w:val="auto"/>
          <w:lang w:val="en-US" w:eastAsia="zh-CN"/>
        </w:rPr>
        <w:t>，作为生产用水和消防水池使用。</w:t>
      </w:r>
    </w:p>
    <w:p w14:paraId="60D061C5">
      <w:pP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lang w:val="en-US" w:eastAsia="zh-CN"/>
        </w:rPr>
        <w:t>2</w:t>
      </w: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lang w:val="en-US" w:eastAsia="zh-CN"/>
        </w:rPr>
        <w:t>露天采场</w:t>
      </w:r>
    </w:p>
    <w:p w14:paraId="19C7993B">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境界尺寸</w:t>
      </w: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lang w:val="en-US" w:eastAsia="zh-CN"/>
        </w:rPr>
        <w:t>南北长约144～567m，东西宽约465～633m</w:t>
      </w: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lang w:val="en-US" w:eastAsia="zh-CN"/>
        </w:rPr>
        <w:t>最终底平面</w:t>
      </w: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lang w:val="en-US" w:eastAsia="zh-CN"/>
        </w:rPr>
        <w:t>标高+195m，南北长约344m，东西宽约212m。最高开采标高</w:t>
      </w: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lang w:val="en-US" w:eastAsia="zh-CN"/>
        </w:rPr>
        <w:t>+380m，最低开采标高</w:t>
      </w: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lang w:val="en-US" w:eastAsia="zh-CN"/>
        </w:rPr>
        <w:t>+195m。</w:t>
      </w:r>
    </w:p>
    <w:p w14:paraId="03C64195">
      <w:pP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lang w:val="en-US" w:eastAsia="zh-CN"/>
        </w:rPr>
        <w:t>3</w:t>
      </w: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lang w:val="en-US" w:eastAsia="zh-CN"/>
        </w:rPr>
        <w:t>破碎场地</w:t>
      </w:r>
    </w:p>
    <w:p w14:paraId="66681C9E">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破碎工业场地</w:t>
      </w: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lang w:val="en-US" w:eastAsia="zh-CN"/>
        </w:rPr>
        <w:t>由卸矿平台、三道破碎系统、脱水车间、料仓、车料分离装载系统等组成。破碎场及其辅助建构筑占地面积约为1.94万</w:t>
      </w:r>
      <w:r>
        <w:rPr>
          <w:rFonts w:hint="eastAsia" w:ascii="Times New Roman" w:hAnsi="Times New Roman" w:eastAsia="宋体" w:cs="Times New Roman"/>
          <w:color w:val="auto"/>
          <w:lang w:val="en-US" w:eastAsia="zh-CN"/>
        </w:rPr>
        <w:t>m</w:t>
      </w:r>
      <w:r>
        <w:rPr>
          <w:rFonts w:hint="eastAsia" w:ascii="Times New Roman" w:hAnsi="Times New Roman" w:eastAsia="宋体" w:cs="Times New Roman"/>
          <w:color w:val="auto"/>
          <w:vertAlign w:val="superscript"/>
          <w:lang w:val="en-US" w:eastAsia="zh-CN"/>
        </w:rPr>
        <w:t>2</w:t>
      </w:r>
      <w:r>
        <w:rPr>
          <w:rFonts w:hint="default" w:ascii="Times New Roman" w:hAnsi="Times New Roman" w:eastAsia="宋体" w:cs="Times New Roman"/>
          <w:color w:val="auto"/>
          <w:lang w:val="en-US" w:eastAsia="zh-CN"/>
        </w:rPr>
        <w:t>。卸矿平台标高为</w:t>
      </w: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lang w:val="en-US" w:eastAsia="zh-CN"/>
        </w:rPr>
        <w:t>135m，储料仓平台标高</w:t>
      </w: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lang w:val="en-US" w:eastAsia="zh-CN"/>
        </w:rPr>
        <w:t>110m</w:t>
      </w:r>
      <w:r>
        <w:rPr>
          <w:rFonts w:hint="eastAsia" w:cs="Times New Roman"/>
          <w:color w:val="auto"/>
          <w:lang w:val="en-US" w:eastAsia="zh-CN"/>
        </w:rPr>
        <w:t>，</w:t>
      </w:r>
      <w:r>
        <w:rPr>
          <w:rFonts w:hint="default" w:ascii="Times New Roman" w:hAnsi="Times New Roman" w:eastAsia="宋体" w:cs="Times New Roman"/>
          <w:color w:val="auto"/>
          <w:lang w:val="en-US" w:eastAsia="zh-CN"/>
        </w:rPr>
        <w:t>机械停放场标高</w:t>
      </w: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lang w:val="en-US" w:eastAsia="zh-CN"/>
        </w:rPr>
        <w:t>110m。</w:t>
      </w:r>
    </w:p>
    <w:p w14:paraId="25EF26C3">
      <w:pP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lang w:val="en-US" w:eastAsia="zh-CN"/>
        </w:rPr>
        <w:t>4</w:t>
      </w: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lang w:val="en-US" w:eastAsia="zh-CN"/>
        </w:rPr>
        <w:t>行政办公及其生活区</w:t>
      </w:r>
    </w:p>
    <w:p w14:paraId="05B1397C">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办公室生活区位于西侧山坡上，平整场地标高</w:t>
      </w: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lang w:val="en-US" w:eastAsia="zh-CN"/>
        </w:rPr>
        <w:t>110m。建筑面积3105m</w:t>
      </w:r>
      <w:r>
        <w:rPr>
          <w:rFonts w:hint="eastAsia" w:ascii="Times New Roman" w:hAnsi="Times New Roman" w:eastAsia="宋体" w:cs="Times New Roman"/>
          <w:color w:val="auto"/>
          <w:vertAlign w:val="superscript"/>
          <w:lang w:val="en-US" w:eastAsia="zh-CN"/>
        </w:rPr>
        <w:t>2</w:t>
      </w:r>
      <w:r>
        <w:rPr>
          <w:rFonts w:hint="default" w:ascii="Times New Roman" w:hAnsi="Times New Roman" w:eastAsia="宋体" w:cs="Times New Roman"/>
          <w:color w:val="auto"/>
          <w:lang w:val="en-US" w:eastAsia="zh-CN"/>
        </w:rPr>
        <w:t>，办公生活区包括办公大楼，辅助楼</w:t>
      </w: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lang w:val="en-US" w:eastAsia="zh-CN"/>
        </w:rPr>
        <w:t>食堂和员工宿舍</w:t>
      </w: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lang w:val="en-US" w:eastAsia="zh-CN"/>
        </w:rPr>
        <w:t>，小车停车场、大门值班室及绿化。</w:t>
      </w:r>
    </w:p>
    <w:p w14:paraId="51D155A6">
      <w:pP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lang w:val="en-US" w:eastAsia="zh-CN"/>
        </w:rPr>
        <w:t>5</w:t>
      </w: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lang w:val="en-US" w:eastAsia="zh-CN"/>
        </w:rPr>
        <w:t>排土场</w:t>
      </w:r>
    </w:p>
    <w:p w14:paraId="05E1A3CC">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已取消排土场，在矿区西侧设置临时堆场。</w:t>
      </w:r>
    </w:p>
    <w:p w14:paraId="14663077">
      <w:pP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lang w:val="en-US" w:eastAsia="zh-CN"/>
        </w:rPr>
        <w:t>6</w:t>
      </w:r>
      <w:r>
        <w:rPr>
          <w:rFonts w:hint="eastAsia" w:ascii="Times New Roman" w:hAnsi="Times New Roman" w:eastAsia="宋体" w:cs="Times New Roman"/>
          <w:color w:val="auto"/>
          <w:lang w:val="en-US" w:eastAsia="zh-CN"/>
        </w:rPr>
        <w:t>）材料库与</w:t>
      </w:r>
      <w:r>
        <w:rPr>
          <w:rFonts w:hint="default" w:ascii="Times New Roman" w:hAnsi="Times New Roman" w:eastAsia="宋体" w:cs="Times New Roman"/>
          <w:color w:val="auto"/>
          <w:lang w:val="en-US" w:eastAsia="zh-CN"/>
        </w:rPr>
        <w:t>配电房</w:t>
      </w:r>
    </w:p>
    <w:p w14:paraId="6F442D38">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材料库与配电房相邻布置，布置在西侧</w:t>
      </w: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lang w:val="en-US" w:eastAsia="zh-CN"/>
        </w:rPr>
        <w:t>103m标高处，与矿区相距280m。</w:t>
      </w:r>
    </w:p>
    <w:p w14:paraId="22F44B1E">
      <w:pPr>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w:t>
      </w:r>
      <w:r>
        <w:rPr>
          <w:rFonts w:hint="eastAsia"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lang w:val="en-US" w:eastAsia="zh-CN"/>
        </w:rPr>
        <w:t>开拓运输系统</w:t>
      </w:r>
    </w:p>
    <w:p w14:paraId="20CCF79A">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采用公路开拓、汽车运输。在矿区西侧，自+125m修建矿山公路至+364m标高。上山道路采用</w:t>
      </w:r>
      <w:r>
        <w:rPr>
          <w:rFonts w:hint="eastAsia" w:ascii="Times New Roman" w:hAnsi="Times New Roman" w:eastAsia="宋体" w:cs="Times New Roman"/>
          <w:color w:val="auto"/>
          <w:lang w:val="en-US" w:eastAsia="zh-CN"/>
        </w:rPr>
        <w:t>双</w:t>
      </w:r>
      <w:r>
        <w:rPr>
          <w:rFonts w:hint="default" w:ascii="Times New Roman" w:hAnsi="Times New Roman" w:eastAsia="宋体" w:cs="Times New Roman"/>
          <w:color w:val="auto"/>
          <w:lang w:val="en-US" w:eastAsia="zh-CN"/>
        </w:rPr>
        <w:t>车道三级道路标准，道路宽度9.5m，最大纵坡不超过9%。运输公路采用折返式布置</w:t>
      </w:r>
      <w:r>
        <w:rPr>
          <w:rFonts w:hint="eastAsia" w:cs="Times New Roman"/>
          <w:color w:val="auto"/>
          <w:lang w:val="en-US" w:eastAsia="zh-CN"/>
        </w:rPr>
        <w:t>，</w:t>
      </w:r>
      <w:r>
        <w:rPr>
          <w:rFonts w:hint="default" w:ascii="Times New Roman" w:hAnsi="Times New Roman" w:eastAsia="宋体" w:cs="Times New Roman"/>
          <w:color w:val="auto"/>
          <w:lang w:val="en-US" w:eastAsia="zh-CN"/>
        </w:rPr>
        <w:t>平均坡度7.68%</w:t>
      </w: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lang w:val="en-US" w:eastAsia="zh-CN"/>
        </w:rPr>
        <w:t>道路宽度9.5m</w:t>
      </w: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lang w:val="en-US" w:eastAsia="zh-CN"/>
        </w:rPr>
        <w:t>最大行车速度30km/h，最小转弯半径15m。</w:t>
      </w:r>
    </w:p>
    <w:p w14:paraId="0F6E3374">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w:t>
      </w:r>
      <w:r>
        <w:rPr>
          <w:rFonts w:hint="eastAsia"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lang w:val="en-US" w:eastAsia="zh-CN"/>
        </w:rPr>
        <w:t>采矿工艺</w:t>
      </w:r>
    </w:p>
    <w:p w14:paraId="4B58DED7">
      <w:pP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lang w:val="en-US" w:eastAsia="zh-CN"/>
        </w:rPr>
        <w:t>1</w:t>
      </w: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lang w:val="en-US" w:eastAsia="zh-CN"/>
        </w:rPr>
        <w:t>开采方式</w:t>
      </w: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lang w:val="en-US" w:eastAsia="zh-CN"/>
        </w:rPr>
        <w:t>矿山开采为山坡露天开采方式。</w:t>
      </w:r>
    </w:p>
    <w:p w14:paraId="2CE86158">
      <w:pP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lang w:val="en-US" w:eastAsia="zh-CN"/>
        </w:rPr>
        <w:t>2</w:t>
      </w: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lang w:val="en-US" w:eastAsia="zh-CN"/>
        </w:rPr>
        <w:t>开采顺序</w:t>
      </w: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lang w:val="en-US" w:eastAsia="zh-CN"/>
        </w:rPr>
        <w:t>自上而下分台阶开采。</w:t>
      </w:r>
    </w:p>
    <w:p w14:paraId="22C26E55">
      <w:pP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lang w:val="en-US" w:eastAsia="zh-CN"/>
        </w:rPr>
        <w:t>3</w:t>
      </w: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lang w:val="en-US" w:eastAsia="zh-CN"/>
        </w:rPr>
        <w:t>采场边坡要素</w:t>
      </w: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lang w:val="en-US" w:eastAsia="zh-CN"/>
        </w:rPr>
        <w:t>1</w:t>
      </w: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lang w:val="en-US" w:eastAsia="zh-CN"/>
        </w:rPr>
        <w:t>台阶高度13m</w:t>
      </w: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lang w:val="en-US" w:eastAsia="zh-CN"/>
        </w:rPr>
        <w:t>2</w:t>
      </w: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lang w:val="en-US" w:eastAsia="zh-CN"/>
        </w:rPr>
        <w:t>台阶坡面角约65</w:t>
      </w:r>
      <w:r>
        <w:rPr>
          <w:rFonts w:hint="eastAsia" w:ascii="宋体" w:hAnsi="宋体" w:eastAsia="宋体" w:cs="宋体"/>
          <w:color w:val="auto"/>
          <w:lang w:val="en-US" w:eastAsia="zh-CN"/>
        </w:rPr>
        <w:t>°</w:t>
      </w: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lang w:val="en-US" w:eastAsia="zh-CN"/>
        </w:rPr>
        <w:t>3</w:t>
      </w: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lang w:val="en-US" w:eastAsia="zh-CN"/>
        </w:rPr>
        <w:t>安全平台宽度5m</w:t>
      </w: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lang w:val="en-US" w:eastAsia="zh-CN"/>
        </w:rPr>
        <w:t>4</w:t>
      </w: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lang w:val="en-US" w:eastAsia="zh-CN"/>
        </w:rPr>
        <w:t>清扫平台宽度7m</w:t>
      </w: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lang w:val="en-US" w:eastAsia="zh-CN"/>
        </w:rPr>
        <w:t>5</w:t>
      </w: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lang w:val="en-US" w:eastAsia="zh-CN"/>
        </w:rPr>
        <w:t>采场最终边坡角49</w:t>
      </w:r>
      <w:r>
        <w:rPr>
          <w:rFonts w:hint="eastAsia" w:ascii="宋体" w:hAnsi="宋体" w:eastAsia="宋体" w:cs="宋体"/>
          <w:color w:val="auto"/>
          <w:lang w:val="en-US" w:eastAsia="zh-CN"/>
        </w:rPr>
        <w:t>°</w:t>
      </w:r>
      <w:r>
        <w:rPr>
          <w:rFonts w:hint="default" w:ascii="Times New Roman" w:hAnsi="Times New Roman" w:eastAsia="宋体" w:cs="Times New Roman"/>
          <w:color w:val="auto"/>
          <w:lang w:val="en-US" w:eastAsia="zh-CN"/>
        </w:rPr>
        <w:t>～50</w:t>
      </w:r>
      <w:r>
        <w:rPr>
          <w:rFonts w:hint="eastAsia" w:ascii="宋体" w:hAnsi="宋体" w:eastAsia="宋体" w:cs="宋体"/>
          <w:color w:val="auto"/>
          <w:lang w:val="en-US" w:eastAsia="zh-CN"/>
        </w:rPr>
        <w:t>°</w:t>
      </w: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lang w:val="en-US" w:eastAsia="zh-CN"/>
        </w:rPr>
        <w:t>6</w:t>
      </w: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lang w:val="en-US" w:eastAsia="zh-CN"/>
        </w:rPr>
        <w:t>采场开采最大深度185m</w:t>
      </w: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lang w:val="en-US" w:eastAsia="zh-CN"/>
        </w:rPr>
        <w:t>7</w:t>
      </w: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lang w:val="en-US" w:eastAsia="zh-CN"/>
        </w:rPr>
        <w:t>最小工作平台宽度37m。</w:t>
      </w:r>
    </w:p>
    <w:p w14:paraId="603093B1">
      <w:pPr>
        <w:pStyle w:val="4"/>
        <w:bidi w:val="0"/>
        <w:rPr>
          <w:rFonts w:hint="default"/>
          <w:color w:val="auto"/>
          <w:lang w:val="en-US" w:eastAsia="zh-CN"/>
        </w:rPr>
      </w:pPr>
      <w:bookmarkStart w:id="95" w:name="_Toc17160"/>
      <w:bookmarkStart w:id="96" w:name="_Toc28823"/>
      <w:bookmarkStart w:id="97" w:name="_Toc26322"/>
      <w:r>
        <w:rPr>
          <w:rFonts w:hint="default"/>
          <w:color w:val="auto"/>
          <w:lang w:val="en-US" w:eastAsia="zh-CN"/>
        </w:rPr>
        <w:t>2.</w:t>
      </w:r>
      <w:r>
        <w:rPr>
          <w:rFonts w:hint="eastAsia"/>
          <w:color w:val="auto"/>
          <w:lang w:val="en-US" w:eastAsia="zh-CN"/>
        </w:rPr>
        <w:t>4</w:t>
      </w:r>
      <w:r>
        <w:rPr>
          <w:rFonts w:hint="default"/>
          <w:color w:val="auto"/>
          <w:lang w:val="en-US" w:eastAsia="zh-CN"/>
        </w:rPr>
        <w:t>.</w:t>
      </w:r>
      <w:r>
        <w:rPr>
          <w:rFonts w:hint="eastAsia"/>
          <w:color w:val="auto"/>
          <w:lang w:val="en-US" w:eastAsia="zh-CN"/>
        </w:rPr>
        <w:t>2</w:t>
      </w:r>
      <w:r>
        <w:rPr>
          <w:rFonts w:hint="default"/>
          <w:color w:val="auto"/>
          <w:lang w:val="en-US" w:eastAsia="zh-CN"/>
        </w:rPr>
        <w:t xml:space="preserve"> 矿山开采上轮许可状况</w:t>
      </w:r>
      <w:bookmarkEnd w:id="95"/>
      <w:bookmarkEnd w:id="96"/>
      <w:bookmarkEnd w:id="97"/>
    </w:p>
    <w:p w14:paraId="0926311C">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由南昌安达安全技术咨询有限公司20</w:t>
      </w:r>
      <w:r>
        <w:rPr>
          <w:rFonts w:hint="eastAsia" w:cs="Times New Roman"/>
          <w:color w:val="auto"/>
          <w:lang w:val="en-US" w:eastAsia="zh-CN"/>
        </w:rPr>
        <w:t>22</w:t>
      </w:r>
      <w:r>
        <w:rPr>
          <w:rFonts w:hint="default" w:ascii="Times New Roman" w:hAnsi="Times New Roman" w:eastAsia="宋体" w:cs="Times New Roman"/>
          <w:color w:val="auto"/>
          <w:lang w:val="en-US" w:eastAsia="zh-CN"/>
        </w:rPr>
        <w:t>年5月份提交了《江西省坤育矿业有限公司德安县聂桥镇刘家山矿区建筑用辉绿岩矿露天开采工程安全现状评价报告》，江西省坤育矿业有限公司德安县聂桥镇刘家山矿区建筑用辉绿岩矿露天开采工程采用公路开拓，汽车运输方式。通往采场的运输公路采用折返式布置，为山坡露天开采。最高</w:t>
      </w:r>
      <w:r>
        <w:rPr>
          <w:rFonts w:hint="eastAsia" w:ascii="Times New Roman" w:hAnsi="Times New Roman" w:eastAsia="宋体" w:cs="Times New Roman"/>
          <w:color w:val="auto"/>
          <w:lang w:val="en-US" w:eastAsia="zh-CN"/>
        </w:rPr>
        <w:t>平台</w:t>
      </w:r>
      <w:r>
        <w:rPr>
          <w:rFonts w:hint="default" w:ascii="Times New Roman" w:hAnsi="Times New Roman" w:eastAsia="宋体" w:cs="Times New Roman"/>
          <w:color w:val="auto"/>
          <w:lang w:val="en-US" w:eastAsia="zh-CN"/>
        </w:rPr>
        <w:t>标高+</w:t>
      </w:r>
      <w:r>
        <w:rPr>
          <w:rFonts w:hint="eastAsia" w:cs="Times New Roman"/>
          <w:color w:val="auto"/>
          <w:lang w:val="en-US" w:eastAsia="zh-CN"/>
        </w:rPr>
        <w:t>364</w:t>
      </w:r>
      <w:r>
        <w:rPr>
          <w:rFonts w:hint="default" w:ascii="Times New Roman" w:hAnsi="Times New Roman" w:eastAsia="宋体" w:cs="Times New Roman"/>
          <w:color w:val="auto"/>
          <w:lang w:val="en-US" w:eastAsia="zh-CN"/>
        </w:rPr>
        <w:t>m、最</w:t>
      </w:r>
      <w:r>
        <w:rPr>
          <w:rFonts w:hint="eastAsia" w:cs="Times New Roman"/>
          <w:color w:val="auto"/>
          <w:lang w:val="en-US" w:eastAsia="zh-CN"/>
        </w:rPr>
        <w:t>低</w:t>
      </w:r>
      <w:r>
        <w:rPr>
          <w:rFonts w:hint="eastAsia" w:ascii="Times New Roman" w:hAnsi="Times New Roman" w:eastAsia="宋体" w:cs="Times New Roman"/>
          <w:color w:val="auto"/>
          <w:lang w:val="en-US" w:eastAsia="zh-CN"/>
        </w:rPr>
        <w:t>平台</w:t>
      </w:r>
      <w:r>
        <w:rPr>
          <w:rFonts w:hint="default" w:ascii="Times New Roman" w:hAnsi="Times New Roman" w:eastAsia="宋体" w:cs="Times New Roman"/>
          <w:color w:val="auto"/>
          <w:lang w:val="en-US" w:eastAsia="zh-CN"/>
        </w:rPr>
        <w:t>标高</w:t>
      </w:r>
      <w:r>
        <w:rPr>
          <w:rFonts w:hint="eastAsia" w:cs="Times New Roman"/>
          <w:color w:val="auto"/>
          <w:lang w:val="en-US" w:eastAsia="zh-CN"/>
        </w:rPr>
        <w:t>+260</w:t>
      </w:r>
      <w:r>
        <w:rPr>
          <w:rFonts w:hint="default" w:ascii="Times New Roman" w:hAnsi="Times New Roman" w:eastAsia="宋体" w:cs="Times New Roman"/>
          <w:color w:val="auto"/>
          <w:lang w:val="en-US" w:eastAsia="zh-CN"/>
        </w:rPr>
        <w:t>m。清扫平台有+</w:t>
      </w:r>
      <w:r>
        <w:rPr>
          <w:rFonts w:hint="eastAsia" w:cs="Times New Roman"/>
          <w:color w:val="auto"/>
          <w:lang w:val="en-US" w:eastAsia="zh-CN"/>
        </w:rPr>
        <w:t>338</w:t>
      </w:r>
      <w:r>
        <w:rPr>
          <w:rFonts w:hint="default" w:ascii="Times New Roman" w:hAnsi="Times New Roman" w:eastAsia="宋体" w:cs="Times New Roman"/>
          <w:color w:val="auto"/>
          <w:lang w:val="en-US" w:eastAsia="zh-CN"/>
        </w:rPr>
        <w:t>m、+</w:t>
      </w:r>
      <w:r>
        <w:rPr>
          <w:rFonts w:hint="eastAsia" w:cs="Times New Roman"/>
          <w:color w:val="auto"/>
          <w:lang w:val="en-US" w:eastAsia="zh-CN"/>
        </w:rPr>
        <w:t>299</w:t>
      </w:r>
      <w:r>
        <w:rPr>
          <w:rFonts w:hint="default" w:ascii="Times New Roman" w:hAnsi="Times New Roman" w:eastAsia="宋体" w:cs="Times New Roman"/>
          <w:color w:val="auto"/>
          <w:lang w:val="en-US" w:eastAsia="zh-CN"/>
        </w:rPr>
        <w:t>m平台；安全平台有+</w:t>
      </w:r>
      <w:r>
        <w:rPr>
          <w:rFonts w:hint="eastAsia" w:cs="Times New Roman"/>
          <w:color w:val="auto"/>
          <w:lang w:val="en-US" w:eastAsia="zh-CN"/>
        </w:rPr>
        <w:t>364</w:t>
      </w:r>
      <w:r>
        <w:rPr>
          <w:rFonts w:hint="default" w:ascii="Times New Roman" w:hAnsi="Times New Roman" w:eastAsia="宋体" w:cs="Times New Roman"/>
          <w:color w:val="auto"/>
          <w:lang w:val="en-US" w:eastAsia="zh-CN"/>
        </w:rPr>
        <w:t>m、+</w:t>
      </w:r>
      <w:r>
        <w:rPr>
          <w:rFonts w:hint="eastAsia" w:cs="Times New Roman"/>
          <w:color w:val="auto"/>
          <w:lang w:val="en-US" w:eastAsia="zh-CN"/>
        </w:rPr>
        <w:t>351</w:t>
      </w:r>
      <w:r>
        <w:rPr>
          <w:rFonts w:hint="default" w:ascii="Times New Roman" w:hAnsi="Times New Roman" w:eastAsia="宋体" w:cs="Times New Roman"/>
          <w:color w:val="auto"/>
          <w:lang w:val="en-US" w:eastAsia="zh-CN"/>
        </w:rPr>
        <w:t>m、+3</w:t>
      </w:r>
      <w:r>
        <w:rPr>
          <w:rFonts w:hint="eastAsia" w:cs="Times New Roman"/>
          <w:color w:val="auto"/>
          <w:lang w:val="en-US" w:eastAsia="zh-CN"/>
        </w:rPr>
        <w:t>25</w:t>
      </w:r>
      <w:r>
        <w:rPr>
          <w:rFonts w:hint="default" w:ascii="Times New Roman" w:hAnsi="Times New Roman" w:eastAsia="宋体" w:cs="Times New Roman"/>
          <w:color w:val="auto"/>
          <w:lang w:val="en-US" w:eastAsia="zh-CN"/>
        </w:rPr>
        <w:t>m</w:t>
      </w:r>
      <w:r>
        <w:rPr>
          <w:rFonts w:hint="eastAsia" w:cs="Times New Roman"/>
          <w:color w:val="auto"/>
          <w:lang w:val="en-US" w:eastAsia="zh-CN"/>
        </w:rPr>
        <w:t>、</w:t>
      </w:r>
      <w:r>
        <w:rPr>
          <w:rFonts w:hint="default" w:ascii="Times New Roman" w:hAnsi="Times New Roman" w:eastAsia="宋体" w:cs="Times New Roman"/>
          <w:color w:val="auto"/>
          <w:lang w:val="en-US" w:eastAsia="zh-CN"/>
        </w:rPr>
        <w:t>+3</w:t>
      </w:r>
      <w:r>
        <w:rPr>
          <w:rFonts w:hint="eastAsia" w:cs="Times New Roman"/>
          <w:color w:val="auto"/>
          <w:lang w:val="en-US" w:eastAsia="zh-CN"/>
        </w:rPr>
        <w:t>12</w:t>
      </w:r>
      <w:r>
        <w:rPr>
          <w:rFonts w:hint="default" w:ascii="Times New Roman" w:hAnsi="Times New Roman" w:eastAsia="宋体" w:cs="Times New Roman"/>
          <w:color w:val="auto"/>
          <w:lang w:val="en-US" w:eastAsia="zh-CN"/>
        </w:rPr>
        <w:t>m</w:t>
      </w:r>
      <w:r>
        <w:rPr>
          <w:rFonts w:hint="eastAsia" w:cs="Times New Roman"/>
          <w:color w:val="auto"/>
          <w:lang w:val="en-US" w:eastAsia="zh-CN"/>
        </w:rPr>
        <w:t>、</w:t>
      </w:r>
      <w:r>
        <w:rPr>
          <w:rFonts w:hint="default" w:ascii="Times New Roman" w:hAnsi="Times New Roman" w:eastAsia="宋体" w:cs="Times New Roman"/>
          <w:color w:val="auto"/>
          <w:lang w:val="en-US" w:eastAsia="zh-CN"/>
        </w:rPr>
        <w:t>+</w:t>
      </w:r>
      <w:r>
        <w:rPr>
          <w:rFonts w:hint="eastAsia" w:cs="Times New Roman"/>
          <w:color w:val="auto"/>
          <w:lang w:val="en-US" w:eastAsia="zh-CN"/>
        </w:rPr>
        <w:t>286</w:t>
      </w:r>
      <w:r>
        <w:rPr>
          <w:rFonts w:hint="default" w:ascii="Times New Roman" w:hAnsi="Times New Roman" w:eastAsia="宋体" w:cs="Times New Roman"/>
          <w:color w:val="auto"/>
          <w:lang w:val="en-US" w:eastAsia="zh-CN"/>
        </w:rPr>
        <w:t>m平台。</w:t>
      </w:r>
      <w:r>
        <w:rPr>
          <w:rFonts w:hint="eastAsia" w:cs="Times New Roman"/>
          <w:color w:val="auto"/>
          <w:lang w:val="en-US" w:eastAsia="zh-CN"/>
        </w:rPr>
        <w:t>生产平台</w:t>
      </w:r>
      <w:r>
        <w:rPr>
          <w:rFonts w:hint="default" w:ascii="Times New Roman" w:hAnsi="Times New Roman" w:eastAsia="宋体" w:cs="Times New Roman"/>
          <w:color w:val="auto"/>
          <w:lang w:val="en-US" w:eastAsia="zh-CN"/>
        </w:rPr>
        <w:t>为：+273m、+260m平台。平台采剥作业台阶高度为1</w:t>
      </w:r>
      <w:r>
        <w:rPr>
          <w:rFonts w:hint="eastAsia" w:cs="Times New Roman"/>
          <w:color w:val="auto"/>
          <w:lang w:val="en-US" w:eastAsia="zh-CN"/>
        </w:rPr>
        <w:t>3</w:t>
      </w:r>
      <w:r>
        <w:rPr>
          <w:rFonts w:hint="default" w:ascii="Times New Roman" w:hAnsi="Times New Roman" w:eastAsia="宋体" w:cs="Times New Roman"/>
          <w:color w:val="auto"/>
          <w:lang w:val="en-US" w:eastAsia="zh-CN"/>
        </w:rPr>
        <w:t>m，采用1台型号为FlexiR00735411</w:t>
      </w:r>
      <w:r>
        <w:rPr>
          <w:rFonts w:hint="eastAsia" w:cs="Times New Roman"/>
          <w:color w:val="auto"/>
          <w:lang w:val="en-US" w:eastAsia="zh-CN"/>
        </w:rPr>
        <w:t>和1台型号为DF-11全液压履带式露天</w:t>
      </w:r>
      <w:r>
        <w:rPr>
          <w:rFonts w:hint="default" w:ascii="Times New Roman" w:hAnsi="Times New Roman" w:eastAsia="宋体" w:cs="Times New Roman"/>
          <w:color w:val="auto"/>
          <w:lang w:val="en-US" w:eastAsia="zh-CN"/>
        </w:rPr>
        <w:t>钻机穿孔，爆破作业</w:t>
      </w:r>
      <w:r>
        <w:rPr>
          <w:rFonts w:hint="eastAsia" w:cs="Times New Roman"/>
          <w:color w:val="auto"/>
          <w:lang w:val="en-US" w:eastAsia="zh-CN"/>
        </w:rPr>
        <w:t>为</w:t>
      </w:r>
      <w:r>
        <w:rPr>
          <w:rFonts w:hint="default" w:ascii="Times New Roman" w:hAnsi="Times New Roman" w:eastAsia="宋体" w:cs="Times New Roman"/>
          <w:color w:val="auto"/>
          <w:lang w:val="en-US" w:eastAsia="zh-CN"/>
        </w:rPr>
        <w:t>深孔爆破</w:t>
      </w:r>
      <w:r>
        <w:rPr>
          <w:rFonts w:hint="eastAsia" w:cs="Times New Roman"/>
          <w:color w:val="auto"/>
          <w:lang w:val="en-US" w:eastAsia="zh-CN"/>
        </w:rPr>
        <w:t>，靠近最终边坡时，采用预裂爆破</w:t>
      </w:r>
      <w:r>
        <w:rPr>
          <w:rFonts w:hint="default" w:ascii="Times New Roman" w:hAnsi="Times New Roman" w:eastAsia="宋体" w:cs="Times New Roman"/>
          <w:color w:val="auto"/>
          <w:lang w:val="en-US" w:eastAsia="zh-CN"/>
        </w:rPr>
        <w:t>。铲装选用挖掘机配自卸式汽车，装车后运到碎石加工场进行破碎。矿山配备了3台型号为950GC的轮胎式装载机，4台型号为PC460LC-8的液压挖掘机，2台型号为340D2L的履带式液压挖掘机。9台非公路矿用自卸车，型号为STL3601PK3940W0。</w:t>
      </w:r>
      <w:r>
        <w:rPr>
          <w:rFonts w:hint="eastAsia" w:cs="Times New Roman"/>
          <w:color w:val="auto"/>
          <w:lang w:val="en-US" w:eastAsia="zh-CN"/>
        </w:rPr>
        <w:t>矿山设有1台S11-M1600/10油浸式变压器和2台S11-M3150/10油浸式变压器供矿山和生产线设备用电</w:t>
      </w:r>
      <w:r>
        <w:rPr>
          <w:rFonts w:hint="default" w:ascii="Times New Roman" w:hAnsi="Times New Roman" w:eastAsia="宋体" w:cs="Times New Roman"/>
          <w:color w:val="auto"/>
          <w:lang w:val="en-US" w:eastAsia="zh-CN"/>
        </w:rPr>
        <w:t>，供电电源来自德安聂桥镇变电所10kV变电站。</w:t>
      </w:r>
    </w:p>
    <w:p w14:paraId="3ADBE286">
      <w:pPr>
        <w:pStyle w:val="4"/>
        <w:bidi w:val="0"/>
        <w:rPr>
          <w:rFonts w:hint="default"/>
          <w:color w:val="auto"/>
          <w:lang w:val="en-US" w:eastAsia="zh-CN"/>
        </w:rPr>
      </w:pPr>
      <w:bookmarkStart w:id="98" w:name="_Toc11962"/>
      <w:bookmarkStart w:id="99" w:name="_Toc25909"/>
      <w:bookmarkStart w:id="100" w:name="_Toc2807"/>
      <w:r>
        <w:rPr>
          <w:rFonts w:hint="default"/>
          <w:color w:val="auto"/>
          <w:lang w:val="en-US" w:eastAsia="zh-CN"/>
        </w:rPr>
        <w:t>2.</w:t>
      </w:r>
      <w:r>
        <w:rPr>
          <w:rFonts w:hint="eastAsia"/>
          <w:color w:val="auto"/>
          <w:lang w:val="en-US" w:eastAsia="zh-CN"/>
        </w:rPr>
        <w:t>4</w:t>
      </w:r>
      <w:r>
        <w:rPr>
          <w:rFonts w:hint="default"/>
          <w:color w:val="auto"/>
          <w:lang w:val="en-US" w:eastAsia="zh-CN"/>
        </w:rPr>
        <w:t>.</w:t>
      </w:r>
      <w:r>
        <w:rPr>
          <w:rFonts w:hint="eastAsia"/>
          <w:color w:val="auto"/>
          <w:lang w:val="en-US" w:eastAsia="zh-CN"/>
        </w:rPr>
        <w:t>3</w:t>
      </w:r>
      <w:r>
        <w:rPr>
          <w:rFonts w:hint="default"/>
          <w:color w:val="auto"/>
          <w:lang w:val="en-US" w:eastAsia="zh-CN"/>
        </w:rPr>
        <w:t xml:space="preserve"> 生产规模及工作制度</w:t>
      </w:r>
      <w:bookmarkEnd w:id="98"/>
      <w:bookmarkEnd w:id="99"/>
      <w:bookmarkEnd w:id="100"/>
    </w:p>
    <w:p w14:paraId="3F59FB63">
      <w:pPr>
        <w:rPr>
          <w:rFonts w:hint="default"/>
          <w:color w:val="auto"/>
          <w:lang w:val="en-US" w:eastAsia="zh-CN"/>
        </w:rPr>
      </w:pPr>
      <w:r>
        <w:rPr>
          <w:rFonts w:hint="default"/>
          <w:color w:val="auto"/>
          <w:lang w:val="en-US" w:eastAsia="zh-CN"/>
        </w:rPr>
        <w:t>1</w:t>
      </w:r>
      <w:r>
        <w:rPr>
          <w:rFonts w:hint="eastAsia"/>
          <w:color w:val="auto"/>
          <w:lang w:val="en-US" w:eastAsia="zh-CN"/>
        </w:rPr>
        <w:t xml:space="preserve">. </w:t>
      </w:r>
      <w:r>
        <w:rPr>
          <w:rFonts w:hint="default"/>
          <w:color w:val="auto"/>
          <w:lang w:val="en-US" w:eastAsia="zh-CN"/>
        </w:rPr>
        <w:t>生产规模</w:t>
      </w:r>
    </w:p>
    <w:p w14:paraId="0138E104">
      <w:pPr>
        <w:rPr>
          <w:rFonts w:hint="default"/>
          <w:color w:val="auto"/>
          <w:lang w:val="en-US" w:eastAsia="zh-CN"/>
        </w:rPr>
      </w:pPr>
      <w:r>
        <w:rPr>
          <w:rFonts w:hint="default"/>
          <w:color w:val="auto"/>
          <w:lang w:val="en-US" w:eastAsia="zh-CN"/>
        </w:rPr>
        <w:t>露天采石场生产规模为200万t/a。</w:t>
      </w:r>
    </w:p>
    <w:p w14:paraId="418F1A5C">
      <w:pPr>
        <w:rPr>
          <w:rFonts w:hint="default"/>
          <w:color w:val="auto"/>
          <w:lang w:val="en-US" w:eastAsia="zh-CN"/>
        </w:rPr>
      </w:pPr>
      <w:r>
        <w:rPr>
          <w:rFonts w:hint="default"/>
          <w:color w:val="auto"/>
          <w:lang w:val="en-US" w:eastAsia="zh-CN"/>
        </w:rPr>
        <w:t>2</w:t>
      </w:r>
      <w:r>
        <w:rPr>
          <w:rFonts w:hint="eastAsia"/>
          <w:color w:val="auto"/>
          <w:lang w:val="en-US" w:eastAsia="zh-CN"/>
        </w:rPr>
        <w:t xml:space="preserve">. </w:t>
      </w:r>
      <w:r>
        <w:rPr>
          <w:rFonts w:hint="default"/>
          <w:color w:val="auto"/>
          <w:lang w:val="en-US" w:eastAsia="zh-CN"/>
        </w:rPr>
        <w:t>工作制度</w:t>
      </w:r>
    </w:p>
    <w:p w14:paraId="29491BB0">
      <w:pPr>
        <w:rPr>
          <w:rFonts w:hint="default"/>
          <w:color w:val="auto"/>
          <w:lang w:val="en-US" w:eastAsia="zh-CN"/>
        </w:rPr>
      </w:pPr>
      <w:r>
        <w:rPr>
          <w:rFonts w:hint="default"/>
          <w:color w:val="auto"/>
          <w:lang w:val="en-US" w:eastAsia="zh-CN"/>
        </w:rPr>
        <w:t>矿山年工作天数为250天</w:t>
      </w:r>
      <w:r>
        <w:rPr>
          <w:rFonts w:hint="eastAsia"/>
          <w:color w:val="auto"/>
          <w:lang w:val="en-US" w:eastAsia="zh-CN"/>
        </w:rPr>
        <w:t>；</w:t>
      </w:r>
      <w:r>
        <w:rPr>
          <w:rFonts w:hint="default"/>
          <w:color w:val="auto"/>
          <w:lang w:val="en-US" w:eastAsia="zh-CN"/>
        </w:rPr>
        <w:t>每天工作2班，每班8小时。</w:t>
      </w:r>
      <w:r>
        <w:rPr>
          <w:rFonts w:hint="eastAsia"/>
          <w:color w:val="auto"/>
          <w:lang w:val="en-US" w:eastAsia="zh-CN"/>
        </w:rPr>
        <w:t>由于目前行情不好，企业当前为单班作业。</w:t>
      </w:r>
    </w:p>
    <w:p w14:paraId="1E628598">
      <w:pPr>
        <w:pStyle w:val="4"/>
        <w:bidi w:val="0"/>
        <w:rPr>
          <w:rFonts w:hint="default"/>
          <w:color w:val="auto"/>
          <w:lang w:val="en-US" w:eastAsia="zh-CN"/>
        </w:rPr>
      </w:pPr>
      <w:bookmarkStart w:id="101" w:name="_Toc29912"/>
      <w:bookmarkStart w:id="102" w:name="_Toc29428"/>
      <w:bookmarkStart w:id="103" w:name="_Toc27558"/>
      <w:r>
        <w:rPr>
          <w:rFonts w:hint="default"/>
          <w:color w:val="auto"/>
          <w:lang w:val="en-US" w:eastAsia="zh-CN"/>
        </w:rPr>
        <w:t>2.</w:t>
      </w:r>
      <w:r>
        <w:rPr>
          <w:rFonts w:hint="eastAsia"/>
          <w:color w:val="auto"/>
          <w:lang w:val="en-US" w:eastAsia="zh-CN"/>
        </w:rPr>
        <w:t>4</w:t>
      </w:r>
      <w:r>
        <w:rPr>
          <w:rFonts w:hint="default"/>
          <w:color w:val="auto"/>
          <w:lang w:val="en-US" w:eastAsia="zh-CN"/>
        </w:rPr>
        <w:t>.</w:t>
      </w:r>
      <w:r>
        <w:rPr>
          <w:rFonts w:hint="eastAsia"/>
          <w:color w:val="auto"/>
          <w:lang w:val="en-US" w:eastAsia="zh-CN"/>
        </w:rPr>
        <w:t>4</w:t>
      </w:r>
      <w:r>
        <w:rPr>
          <w:rFonts w:hint="default"/>
          <w:color w:val="auto"/>
          <w:lang w:val="en-US" w:eastAsia="zh-CN"/>
        </w:rPr>
        <w:t xml:space="preserve"> 总图运输</w:t>
      </w:r>
      <w:bookmarkEnd w:id="101"/>
      <w:bookmarkEnd w:id="102"/>
      <w:bookmarkEnd w:id="103"/>
    </w:p>
    <w:p w14:paraId="4605A7CE">
      <w:pPr>
        <w:rPr>
          <w:rFonts w:hint="default"/>
          <w:color w:val="auto"/>
          <w:lang w:val="en-US" w:eastAsia="zh-CN"/>
        </w:rPr>
      </w:pPr>
      <w:r>
        <w:rPr>
          <w:rFonts w:hint="default"/>
          <w:color w:val="auto"/>
          <w:lang w:val="en-US" w:eastAsia="zh-CN"/>
        </w:rPr>
        <w:t>矿区工业场地主要有高位水池、破碎</w:t>
      </w:r>
      <w:r>
        <w:rPr>
          <w:rFonts w:hint="eastAsia"/>
          <w:color w:val="auto"/>
          <w:lang w:val="en-US" w:eastAsia="zh-CN"/>
        </w:rPr>
        <w:t>场地、</w:t>
      </w:r>
      <w:r>
        <w:rPr>
          <w:rFonts w:hint="default"/>
          <w:color w:val="auto"/>
          <w:lang w:val="en-US" w:eastAsia="zh-CN"/>
        </w:rPr>
        <w:t>行政办公及其生活区、配电房</w:t>
      </w:r>
      <w:r>
        <w:rPr>
          <w:rFonts w:hint="eastAsia"/>
          <w:color w:val="auto"/>
          <w:lang w:val="en-US" w:eastAsia="zh-CN"/>
        </w:rPr>
        <w:t>及维修车间</w:t>
      </w:r>
      <w:r>
        <w:rPr>
          <w:rFonts w:hint="default"/>
          <w:color w:val="auto"/>
          <w:lang w:val="en-US" w:eastAsia="zh-CN"/>
        </w:rPr>
        <w:t>等。</w:t>
      </w:r>
    </w:p>
    <w:p w14:paraId="7E933F9B">
      <w:pPr>
        <w:rPr>
          <w:rFonts w:hint="eastAsia"/>
          <w:color w:val="auto"/>
          <w:lang w:val="en-US" w:eastAsia="zh-CN"/>
        </w:rPr>
      </w:pPr>
      <w:r>
        <w:rPr>
          <w:rFonts w:hint="default"/>
          <w:color w:val="auto"/>
          <w:lang w:val="en-US" w:eastAsia="zh-CN"/>
        </w:rPr>
        <w:t>1</w:t>
      </w:r>
      <w:r>
        <w:rPr>
          <w:rFonts w:hint="eastAsia"/>
          <w:color w:val="auto"/>
          <w:lang w:val="en-US" w:eastAsia="zh-CN"/>
        </w:rPr>
        <w:t xml:space="preserve">. </w:t>
      </w:r>
      <w:r>
        <w:rPr>
          <w:rFonts w:hint="default"/>
          <w:color w:val="auto"/>
          <w:lang w:val="en-US" w:eastAsia="zh-CN"/>
        </w:rPr>
        <w:t>高位水池</w:t>
      </w:r>
    </w:p>
    <w:p w14:paraId="520223C4">
      <w:pPr>
        <w:rPr>
          <w:rFonts w:hint="default"/>
          <w:color w:val="auto"/>
          <w:lang w:val="en-US" w:eastAsia="zh-CN"/>
        </w:rPr>
      </w:pPr>
      <w:r>
        <w:rPr>
          <w:rFonts w:hint="default"/>
          <w:color w:val="auto"/>
          <w:lang w:val="en-US" w:eastAsia="zh-CN"/>
        </w:rPr>
        <w:t>高位水池布置在矿区</w:t>
      </w:r>
      <w:r>
        <w:rPr>
          <w:rFonts w:hint="eastAsia"/>
          <w:color w:val="auto"/>
          <w:lang w:val="en-US" w:eastAsia="zh-CN"/>
        </w:rPr>
        <w:t>西</w:t>
      </w:r>
      <w:r>
        <w:rPr>
          <w:rFonts w:hint="default"/>
          <w:color w:val="auto"/>
          <w:lang w:val="en-US" w:eastAsia="zh-CN"/>
        </w:rPr>
        <w:t>北侧+</w:t>
      </w:r>
      <w:r>
        <w:rPr>
          <w:rFonts w:hint="eastAsia"/>
          <w:color w:val="auto"/>
          <w:lang w:val="en-US" w:eastAsia="zh-CN"/>
        </w:rPr>
        <w:t>166</w:t>
      </w:r>
      <w:r>
        <w:rPr>
          <w:rFonts w:hint="default"/>
          <w:color w:val="auto"/>
          <w:lang w:val="en-US" w:eastAsia="zh-CN"/>
        </w:rPr>
        <w:t>m标高处，容积</w:t>
      </w:r>
      <w:r>
        <w:rPr>
          <w:rFonts w:hint="eastAsia" w:cs="Times New Roman"/>
          <w:color w:val="auto"/>
          <w:lang w:val="en-US" w:eastAsia="zh-CN"/>
        </w:rPr>
        <w:t>为</w:t>
      </w:r>
      <w:r>
        <w:rPr>
          <w:rFonts w:hint="default"/>
          <w:color w:val="auto"/>
          <w:lang w:val="en-US" w:eastAsia="zh-CN"/>
        </w:rPr>
        <w:t>3</w:t>
      </w:r>
      <w:r>
        <w:rPr>
          <w:rFonts w:hint="eastAsia"/>
          <w:color w:val="auto"/>
          <w:lang w:val="en-US" w:eastAsia="zh-CN"/>
        </w:rPr>
        <w:t>32</w:t>
      </w:r>
      <w:r>
        <w:rPr>
          <w:rFonts w:hint="default"/>
          <w:color w:val="auto"/>
          <w:lang w:val="en-US" w:eastAsia="zh-CN"/>
        </w:rPr>
        <w:t>m</w:t>
      </w:r>
      <w:r>
        <w:rPr>
          <w:rFonts w:hint="eastAsia"/>
          <w:color w:val="auto"/>
          <w:vertAlign w:val="superscript"/>
          <w:lang w:val="en-US" w:eastAsia="zh-CN"/>
        </w:rPr>
        <w:t>3</w:t>
      </w:r>
      <w:r>
        <w:rPr>
          <w:rFonts w:hint="default"/>
          <w:color w:val="auto"/>
          <w:lang w:val="en-US" w:eastAsia="zh-CN"/>
        </w:rPr>
        <w:t>，距离矿界约92m</w:t>
      </w:r>
      <w:r>
        <w:rPr>
          <w:rFonts w:hint="eastAsia"/>
          <w:color w:val="auto"/>
          <w:lang w:val="en-US" w:eastAsia="zh-CN"/>
        </w:rPr>
        <w:t>，</w:t>
      </w:r>
      <w:r>
        <w:rPr>
          <w:rFonts w:hint="default" w:ascii="Times New Roman" w:hAnsi="Times New Roman" w:eastAsia="宋体" w:cs="Times New Roman"/>
          <w:color w:val="auto"/>
          <w:lang w:val="en-US" w:eastAsia="zh-CN"/>
        </w:rPr>
        <w:t>设有</w:t>
      </w:r>
      <w:r>
        <w:rPr>
          <w:rFonts w:hint="eastAsia" w:ascii="Times New Roman" w:hAnsi="Times New Roman" w:eastAsia="宋体" w:cs="Times New Roman"/>
          <w:color w:val="auto"/>
          <w:lang w:val="en-US" w:eastAsia="zh-CN"/>
        </w:rPr>
        <w:t>水泵</w:t>
      </w:r>
      <w:r>
        <w:rPr>
          <w:rFonts w:hint="eastAsia" w:cs="Times New Roman"/>
          <w:color w:val="auto"/>
          <w:lang w:val="en-US" w:eastAsia="zh-CN"/>
        </w:rPr>
        <w:t>3</w:t>
      </w:r>
      <w:r>
        <w:rPr>
          <w:rFonts w:hint="default" w:ascii="Times New Roman" w:hAnsi="Times New Roman" w:eastAsia="宋体" w:cs="Times New Roman"/>
          <w:color w:val="auto"/>
          <w:lang w:val="en-US" w:eastAsia="zh-CN"/>
        </w:rPr>
        <w:t>台（</w:t>
      </w:r>
      <w:r>
        <w:rPr>
          <w:rFonts w:hint="eastAsia" w:ascii="Times New Roman" w:hAnsi="Times New Roman" w:cs="Times New Roman"/>
          <w:color w:val="auto"/>
          <w:lang w:val="en-US" w:eastAsia="zh-CN"/>
        </w:rPr>
        <w:t>功率</w:t>
      </w:r>
      <w:r>
        <w:rPr>
          <w:rFonts w:hint="eastAsia" w:cs="Times New Roman"/>
          <w:color w:val="auto"/>
          <w:lang w:val="en-US" w:eastAsia="zh-CN"/>
        </w:rPr>
        <w:t>37</w:t>
      </w:r>
      <w:r>
        <w:rPr>
          <w:rFonts w:hint="default" w:ascii="Times New Roman" w:hAnsi="Times New Roman" w:eastAsia="宋体" w:cs="Times New Roman"/>
          <w:color w:val="auto"/>
          <w:lang w:val="en-US" w:eastAsia="zh-CN"/>
        </w:rPr>
        <w:t>kW，一用两备</w:t>
      </w:r>
      <w:r>
        <w:rPr>
          <w:rFonts w:hint="eastAsia" w:cs="Times New Roman"/>
          <w:color w:val="auto"/>
          <w:lang w:val="en-US" w:eastAsia="zh-CN"/>
        </w:rPr>
        <w:t>）</w:t>
      </w:r>
      <w:r>
        <w:rPr>
          <w:rFonts w:hint="default"/>
          <w:color w:val="auto"/>
          <w:lang w:val="en-US" w:eastAsia="zh-CN"/>
        </w:rPr>
        <w:t>。</w:t>
      </w:r>
      <w:r>
        <w:rPr>
          <w:rFonts w:hint="eastAsia"/>
          <w:color w:val="auto"/>
          <w:lang w:val="en-US" w:eastAsia="zh-CN"/>
        </w:rPr>
        <w:t>水源来自矿山东南侧直线约1.5km的磨山水库。</w:t>
      </w:r>
    </w:p>
    <w:p w14:paraId="689FA532">
      <w:pPr>
        <w:rPr>
          <w:rFonts w:hint="default"/>
          <w:color w:val="auto"/>
          <w:lang w:val="en-US" w:eastAsia="zh-CN"/>
        </w:rPr>
      </w:pPr>
      <w:r>
        <w:rPr>
          <w:rFonts w:hint="eastAsia"/>
          <w:color w:val="auto"/>
          <w:lang w:val="en-US" w:eastAsia="zh-CN"/>
        </w:rPr>
        <w:t xml:space="preserve">2. </w:t>
      </w:r>
      <w:r>
        <w:rPr>
          <w:rFonts w:hint="default"/>
          <w:color w:val="auto"/>
          <w:lang w:val="en-US" w:eastAsia="zh-CN"/>
        </w:rPr>
        <w:t>破碎场</w:t>
      </w:r>
      <w:r>
        <w:rPr>
          <w:rFonts w:hint="default" w:ascii="Times New Roman" w:hAnsi="Times New Roman" w:eastAsia="宋体" w:cs="Times New Roman"/>
          <w:color w:val="auto"/>
          <w:lang w:val="en-US" w:eastAsia="zh-CN"/>
        </w:rPr>
        <w:t>地</w:t>
      </w:r>
    </w:p>
    <w:p w14:paraId="3362D565">
      <w:pPr>
        <w:rPr>
          <w:rFonts w:hint="default"/>
          <w:color w:val="auto"/>
          <w:lang w:val="en-US" w:eastAsia="zh-CN"/>
        </w:rPr>
      </w:pPr>
      <w:r>
        <w:rPr>
          <w:rFonts w:hint="default"/>
          <w:color w:val="auto"/>
          <w:lang w:val="en-US" w:eastAsia="zh-CN"/>
        </w:rPr>
        <w:t>位于矿区西侧，距离矿区边界约</w:t>
      </w:r>
      <w:r>
        <w:rPr>
          <w:rFonts w:hint="eastAsia"/>
          <w:color w:val="auto"/>
          <w:lang w:val="en-US" w:eastAsia="zh-CN"/>
        </w:rPr>
        <w:t>50</w:t>
      </w:r>
      <w:r>
        <w:rPr>
          <w:rFonts w:hint="default"/>
          <w:color w:val="auto"/>
          <w:lang w:val="en-US" w:eastAsia="zh-CN"/>
        </w:rPr>
        <w:t>m。</w:t>
      </w:r>
    </w:p>
    <w:p w14:paraId="64672C6D">
      <w:pP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 xml:space="preserve">3. </w:t>
      </w:r>
      <w:r>
        <w:rPr>
          <w:rFonts w:hint="default" w:ascii="Times New Roman" w:hAnsi="Times New Roman" w:eastAsia="宋体" w:cs="Times New Roman"/>
          <w:color w:val="auto"/>
          <w:lang w:val="en-US" w:eastAsia="zh-CN"/>
        </w:rPr>
        <w:t>行政办公及其生活区</w:t>
      </w:r>
    </w:p>
    <w:p w14:paraId="638442C3">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行政办公及其生活区位于西侧山坡上，距离矿区边界约490m。</w:t>
      </w:r>
    </w:p>
    <w:p w14:paraId="37C0BF9B">
      <w:pPr>
        <w:numPr>
          <w:ilvl w:val="0"/>
          <w:numId w:val="0"/>
        </w:numPr>
        <w:ind w:firstLine="560" w:firstLineChars="200"/>
        <w:rPr>
          <w:rFonts w:hint="default"/>
          <w:color w:val="auto"/>
          <w:lang w:val="en-US" w:eastAsia="zh-CN"/>
        </w:rPr>
      </w:pPr>
      <w:r>
        <w:rPr>
          <w:rFonts w:hint="default" w:ascii="Times New Roman" w:hAnsi="Times New Roman" w:eastAsia="宋体" w:cs="Times New Roman"/>
          <w:color w:val="auto"/>
          <w:kern w:val="2"/>
          <w:sz w:val="28"/>
          <w:szCs w:val="24"/>
          <w:lang w:val="en-US" w:eastAsia="zh-CN" w:bidi="ar-SA"/>
        </w:rPr>
        <w:t>4.</w:t>
      </w:r>
      <w:r>
        <w:rPr>
          <w:rFonts w:hint="eastAsia" w:ascii="Times New Roman" w:hAnsi="Times New Roman" w:eastAsia="宋体" w:cs="Times New Roman"/>
          <w:color w:val="auto"/>
          <w:lang w:val="en-US" w:eastAsia="zh-CN"/>
        </w:rPr>
        <w:t xml:space="preserve"> </w:t>
      </w:r>
      <w:r>
        <w:rPr>
          <w:rFonts w:hint="default"/>
          <w:color w:val="auto"/>
          <w:lang w:val="en-US" w:eastAsia="zh-CN"/>
        </w:rPr>
        <w:t>配电房</w:t>
      </w:r>
    </w:p>
    <w:p w14:paraId="5D2E987B">
      <w:pPr>
        <w:numPr>
          <w:ilvl w:val="0"/>
          <w:numId w:val="0"/>
        </w:numPr>
        <w:ind w:firstLine="560" w:firstLineChars="200"/>
        <w:rPr>
          <w:rFonts w:hint="default"/>
          <w:color w:val="auto"/>
          <w:lang w:val="en-US" w:eastAsia="zh-CN"/>
        </w:rPr>
      </w:pPr>
      <w:r>
        <w:rPr>
          <w:rFonts w:hint="default"/>
          <w:color w:val="auto"/>
          <w:lang w:val="en-US" w:eastAsia="zh-CN"/>
        </w:rPr>
        <w:t>配电房布置在西侧</w:t>
      </w:r>
      <w:r>
        <w:rPr>
          <w:rFonts w:hint="eastAsia"/>
          <w:color w:val="auto"/>
          <w:lang w:val="en-US" w:eastAsia="zh-CN"/>
        </w:rPr>
        <w:t>+</w:t>
      </w:r>
      <w:r>
        <w:rPr>
          <w:rFonts w:hint="default"/>
          <w:color w:val="auto"/>
          <w:lang w:val="en-US" w:eastAsia="zh-CN"/>
        </w:rPr>
        <w:t>1</w:t>
      </w:r>
      <w:r>
        <w:rPr>
          <w:rFonts w:hint="eastAsia"/>
          <w:color w:val="auto"/>
          <w:lang w:val="en-US" w:eastAsia="zh-CN"/>
        </w:rPr>
        <w:t>20</w:t>
      </w:r>
      <w:r>
        <w:rPr>
          <w:rFonts w:hint="default"/>
          <w:color w:val="auto"/>
          <w:lang w:val="en-US" w:eastAsia="zh-CN"/>
        </w:rPr>
        <w:t>m标高处，与矿区相距</w:t>
      </w:r>
      <w:r>
        <w:rPr>
          <w:rFonts w:hint="eastAsia"/>
          <w:color w:val="auto"/>
          <w:lang w:val="en-US" w:eastAsia="zh-CN"/>
        </w:rPr>
        <w:t>约10</w:t>
      </w:r>
      <w:r>
        <w:rPr>
          <w:rFonts w:hint="default"/>
          <w:color w:val="auto"/>
          <w:lang w:val="en-US" w:eastAsia="zh-CN"/>
        </w:rPr>
        <w:t>0m。</w:t>
      </w:r>
    </w:p>
    <w:p w14:paraId="5D68BA13">
      <w:pPr>
        <w:numPr>
          <w:ilvl w:val="0"/>
          <w:numId w:val="0"/>
        </w:numPr>
        <w:ind w:firstLine="560" w:firstLineChars="200"/>
        <w:rPr>
          <w:rFonts w:hint="eastAsia"/>
          <w:color w:val="auto"/>
          <w:lang w:val="en-US" w:eastAsia="zh-CN"/>
        </w:rPr>
      </w:pPr>
      <w:r>
        <w:rPr>
          <w:rFonts w:hint="eastAsia"/>
          <w:color w:val="auto"/>
          <w:lang w:val="en-US" w:eastAsia="zh-CN"/>
        </w:rPr>
        <w:t>5. 维修车间</w:t>
      </w:r>
    </w:p>
    <w:p w14:paraId="1FA640B7">
      <w:pPr>
        <w:numPr>
          <w:ilvl w:val="0"/>
          <w:numId w:val="0"/>
        </w:numPr>
        <w:ind w:firstLine="560" w:firstLineChars="200"/>
        <w:rPr>
          <w:rFonts w:hint="default"/>
          <w:color w:val="auto"/>
          <w:lang w:val="en-US" w:eastAsia="zh-CN"/>
        </w:rPr>
      </w:pPr>
      <w:r>
        <w:rPr>
          <w:rFonts w:hint="eastAsia"/>
          <w:color w:val="auto"/>
          <w:lang w:val="en-US" w:eastAsia="zh-CN"/>
        </w:rPr>
        <w:t>维修车间</w:t>
      </w:r>
      <w:r>
        <w:rPr>
          <w:rFonts w:hint="default"/>
          <w:color w:val="auto"/>
          <w:lang w:val="en-US" w:eastAsia="zh-CN"/>
        </w:rPr>
        <w:t>布置在西侧</w:t>
      </w:r>
      <w:r>
        <w:rPr>
          <w:rFonts w:hint="eastAsia"/>
          <w:color w:val="auto"/>
          <w:lang w:val="en-US" w:eastAsia="zh-CN"/>
        </w:rPr>
        <w:t>+</w:t>
      </w:r>
      <w:r>
        <w:rPr>
          <w:rFonts w:hint="default"/>
          <w:color w:val="auto"/>
          <w:lang w:val="en-US" w:eastAsia="zh-CN"/>
        </w:rPr>
        <w:t>103m标高处，与矿区相距</w:t>
      </w:r>
      <w:r>
        <w:rPr>
          <w:rFonts w:hint="eastAsia"/>
          <w:color w:val="auto"/>
          <w:lang w:val="en-US" w:eastAsia="zh-CN"/>
        </w:rPr>
        <w:t>约</w:t>
      </w:r>
      <w:r>
        <w:rPr>
          <w:rFonts w:hint="default"/>
          <w:color w:val="auto"/>
          <w:lang w:val="en-US" w:eastAsia="zh-CN"/>
        </w:rPr>
        <w:t>2</w:t>
      </w:r>
      <w:r>
        <w:rPr>
          <w:rFonts w:hint="eastAsia"/>
          <w:color w:val="auto"/>
          <w:lang w:val="en-US" w:eastAsia="zh-CN"/>
        </w:rPr>
        <w:t>0</w:t>
      </w:r>
      <w:r>
        <w:rPr>
          <w:rFonts w:hint="default"/>
          <w:color w:val="auto"/>
          <w:lang w:val="en-US" w:eastAsia="zh-CN"/>
        </w:rPr>
        <w:t>0m。</w:t>
      </w:r>
    </w:p>
    <w:p w14:paraId="4077BE2E">
      <w:pPr>
        <w:rPr>
          <w:rFonts w:hint="default"/>
          <w:color w:val="auto"/>
          <w:lang w:val="en-US" w:eastAsia="zh-CN"/>
        </w:rPr>
      </w:pPr>
      <w:r>
        <w:rPr>
          <w:rFonts w:hint="default"/>
          <w:color w:val="auto"/>
          <w:lang w:val="en-US" w:eastAsia="zh-CN"/>
        </w:rPr>
        <w:t>内、外部运输</w:t>
      </w:r>
      <w:r>
        <w:rPr>
          <w:rFonts w:hint="eastAsia"/>
          <w:color w:val="auto"/>
          <w:lang w:val="en-US" w:eastAsia="zh-CN"/>
        </w:rPr>
        <w:t>：</w:t>
      </w:r>
      <w:r>
        <w:rPr>
          <w:rFonts w:hint="default"/>
          <w:color w:val="auto"/>
          <w:lang w:val="en-US" w:eastAsia="zh-CN"/>
        </w:rPr>
        <w:t>采用汽车运输。</w:t>
      </w:r>
    </w:p>
    <w:p w14:paraId="60793C7B">
      <w:pPr>
        <w:pStyle w:val="4"/>
        <w:bidi w:val="0"/>
        <w:rPr>
          <w:rFonts w:hint="default"/>
          <w:color w:val="auto"/>
          <w:lang w:val="en-US" w:eastAsia="zh-CN"/>
        </w:rPr>
      </w:pPr>
      <w:bookmarkStart w:id="104" w:name="_Toc19061"/>
      <w:bookmarkStart w:id="105" w:name="_Toc20708"/>
      <w:bookmarkStart w:id="106" w:name="_Toc7232"/>
      <w:r>
        <w:rPr>
          <w:rFonts w:hint="default"/>
          <w:color w:val="auto"/>
          <w:lang w:val="en-US" w:eastAsia="zh-CN"/>
        </w:rPr>
        <w:t>2.</w:t>
      </w:r>
      <w:r>
        <w:rPr>
          <w:rFonts w:hint="eastAsia"/>
          <w:color w:val="auto"/>
          <w:lang w:val="en-US" w:eastAsia="zh-CN"/>
        </w:rPr>
        <w:t>4</w:t>
      </w:r>
      <w:r>
        <w:rPr>
          <w:rFonts w:hint="default"/>
          <w:color w:val="auto"/>
          <w:lang w:val="en-US" w:eastAsia="zh-CN"/>
        </w:rPr>
        <w:t>.</w:t>
      </w:r>
      <w:r>
        <w:rPr>
          <w:rFonts w:hint="eastAsia"/>
          <w:color w:val="auto"/>
          <w:lang w:val="en-US" w:eastAsia="zh-CN"/>
        </w:rPr>
        <w:t>5</w:t>
      </w:r>
      <w:r>
        <w:rPr>
          <w:rFonts w:hint="default"/>
          <w:color w:val="auto"/>
          <w:lang w:val="en-US" w:eastAsia="zh-CN"/>
        </w:rPr>
        <w:t xml:space="preserve"> 开采范围</w:t>
      </w:r>
      <w:bookmarkEnd w:id="104"/>
      <w:bookmarkEnd w:id="105"/>
      <w:bookmarkEnd w:id="106"/>
    </w:p>
    <w:p w14:paraId="6B71EF68">
      <w:pPr>
        <w:rPr>
          <w:rFonts w:hint="default"/>
          <w:color w:val="auto"/>
          <w:lang w:val="en-US" w:eastAsia="zh-CN"/>
        </w:rPr>
      </w:pPr>
      <w:r>
        <w:rPr>
          <w:rFonts w:hint="default"/>
          <w:color w:val="auto"/>
          <w:lang w:val="en-US" w:eastAsia="zh-CN"/>
        </w:rPr>
        <w:t>开采范围</w:t>
      </w:r>
      <w:r>
        <w:rPr>
          <w:rFonts w:hint="eastAsia"/>
          <w:color w:val="auto"/>
          <w:lang w:val="en-US" w:eastAsia="zh-CN"/>
        </w:rPr>
        <w:t>：</w:t>
      </w:r>
      <w:r>
        <w:rPr>
          <w:rFonts w:hint="default"/>
          <w:color w:val="auto"/>
          <w:lang w:val="en-US" w:eastAsia="zh-CN"/>
        </w:rPr>
        <w:t>《采矿许可证》划定的矿区开采范围</w:t>
      </w:r>
      <w:r>
        <w:rPr>
          <w:rFonts w:hint="eastAsia"/>
          <w:color w:val="auto"/>
          <w:lang w:val="en-US" w:eastAsia="zh-CN"/>
        </w:rPr>
        <w:t>6</w:t>
      </w:r>
      <w:r>
        <w:rPr>
          <w:rFonts w:hint="default"/>
          <w:color w:val="auto"/>
          <w:lang w:val="en-US" w:eastAsia="zh-CN"/>
        </w:rPr>
        <w:t>个拐点圈定，矿区面积为0.2704km</w:t>
      </w:r>
      <w:r>
        <w:rPr>
          <w:rFonts w:hint="eastAsia"/>
          <w:color w:val="auto"/>
          <w:vertAlign w:val="superscript"/>
          <w:lang w:val="en-US" w:eastAsia="zh-CN"/>
        </w:rPr>
        <w:t>2</w:t>
      </w:r>
      <w:r>
        <w:rPr>
          <w:rFonts w:hint="default"/>
          <w:color w:val="auto"/>
          <w:lang w:val="en-US" w:eastAsia="zh-CN"/>
        </w:rPr>
        <w:t>，开采深度+380m</w:t>
      </w:r>
      <w:r>
        <w:rPr>
          <w:rFonts w:hint="default" w:ascii="Times New Roman" w:hAnsi="Times New Roman" w:eastAsia="宋体" w:cs="Times New Roman"/>
          <w:color w:val="auto"/>
          <w:lang w:val="en-US" w:eastAsia="zh-CN"/>
        </w:rPr>
        <w:t>～</w:t>
      </w:r>
      <w:r>
        <w:rPr>
          <w:rFonts w:hint="default"/>
          <w:color w:val="auto"/>
          <w:lang w:val="en-US" w:eastAsia="zh-CN"/>
        </w:rPr>
        <w:t>+195m。</w:t>
      </w:r>
    </w:p>
    <w:p w14:paraId="18831CB0">
      <w:pPr>
        <w:pStyle w:val="4"/>
        <w:bidi w:val="0"/>
        <w:rPr>
          <w:rFonts w:hint="default"/>
          <w:color w:val="auto"/>
          <w:lang w:val="en-US" w:eastAsia="zh-CN"/>
        </w:rPr>
      </w:pPr>
      <w:bookmarkStart w:id="107" w:name="_Toc3405"/>
      <w:bookmarkStart w:id="108" w:name="_Toc1833"/>
      <w:bookmarkStart w:id="109" w:name="_Toc23200"/>
      <w:r>
        <w:rPr>
          <w:rFonts w:hint="default"/>
          <w:color w:val="auto"/>
          <w:lang w:val="en-US" w:eastAsia="zh-CN"/>
        </w:rPr>
        <w:t>2.</w:t>
      </w:r>
      <w:r>
        <w:rPr>
          <w:rFonts w:hint="eastAsia"/>
          <w:color w:val="auto"/>
          <w:lang w:val="en-US" w:eastAsia="zh-CN"/>
        </w:rPr>
        <w:t>4</w:t>
      </w:r>
      <w:r>
        <w:rPr>
          <w:rFonts w:hint="default"/>
          <w:color w:val="auto"/>
          <w:lang w:val="en-US" w:eastAsia="zh-CN"/>
        </w:rPr>
        <w:t>.</w:t>
      </w:r>
      <w:r>
        <w:rPr>
          <w:rFonts w:hint="eastAsia"/>
          <w:color w:val="auto"/>
          <w:lang w:val="en-US" w:eastAsia="zh-CN"/>
        </w:rPr>
        <w:t>6</w:t>
      </w:r>
      <w:r>
        <w:rPr>
          <w:rFonts w:hint="default"/>
          <w:color w:val="auto"/>
          <w:lang w:val="en-US" w:eastAsia="zh-CN"/>
        </w:rPr>
        <w:t xml:space="preserve"> 开拓运输</w:t>
      </w:r>
      <w:bookmarkEnd w:id="107"/>
      <w:bookmarkEnd w:id="108"/>
      <w:bookmarkEnd w:id="109"/>
    </w:p>
    <w:p w14:paraId="586BE8F3">
      <w:pPr>
        <w:rPr>
          <w:rFonts w:hint="default"/>
          <w:color w:val="auto"/>
          <w:lang w:val="en-US" w:eastAsia="zh-CN"/>
        </w:rPr>
      </w:pPr>
      <w:r>
        <w:rPr>
          <w:rFonts w:hint="default"/>
          <w:color w:val="auto"/>
          <w:lang w:val="en-US" w:eastAsia="zh-CN"/>
        </w:rPr>
        <w:t>1</w:t>
      </w:r>
      <w:r>
        <w:rPr>
          <w:rFonts w:hint="eastAsia" w:ascii="Times New Roman" w:hAnsi="Times New Roman" w:eastAsia="宋体" w:cs="Times New Roman"/>
          <w:color w:val="auto"/>
          <w:lang w:val="en-US" w:eastAsia="zh-CN"/>
        </w:rPr>
        <w:t xml:space="preserve">. </w:t>
      </w:r>
      <w:r>
        <w:rPr>
          <w:rFonts w:hint="default"/>
          <w:color w:val="auto"/>
          <w:lang w:val="en-US" w:eastAsia="zh-CN"/>
        </w:rPr>
        <w:t>开拓</w:t>
      </w:r>
      <w:r>
        <w:rPr>
          <w:rFonts w:hint="eastAsia"/>
          <w:color w:val="auto"/>
          <w:lang w:val="en-US" w:eastAsia="zh-CN"/>
        </w:rPr>
        <w:t>方式</w:t>
      </w:r>
    </w:p>
    <w:p w14:paraId="59321DBA">
      <w:pPr>
        <w:rPr>
          <w:rFonts w:hint="default"/>
          <w:color w:val="auto"/>
          <w:lang w:val="en-US" w:eastAsia="zh-CN"/>
        </w:rPr>
      </w:pPr>
      <w:r>
        <w:rPr>
          <w:rFonts w:hint="default"/>
          <w:color w:val="auto"/>
          <w:lang w:val="en-US" w:eastAsia="zh-CN"/>
        </w:rPr>
        <w:t>依据矿山开采方式，采用为公路开拓方案，通往采场的运输公路采用折返式布置，公路总坡度7.5%，最小曲线半径</w:t>
      </w:r>
      <w:r>
        <w:rPr>
          <w:rFonts w:hint="eastAsia"/>
          <w:color w:val="auto"/>
          <w:lang w:val="en-US" w:eastAsia="zh-CN"/>
        </w:rPr>
        <w:t>：</w:t>
      </w:r>
      <w:r>
        <w:rPr>
          <w:rFonts w:hint="default"/>
          <w:color w:val="auto"/>
          <w:lang w:val="en-US" w:eastAsia="zh-CN"/>
        </w:rPr>
        <w:t>15m，路宽10m。进矿公路从矿区西侧绕至矿区的东侧进入采场，由采场东侧延伸到达采场各工作平台。道路每隔350m左右设置了缓坡段，缓坡段坡度3%</w:t>
      </w:r>
      <w:r>
        <w:rPr>
          <w:rFonts w:hint="eastAsia"/>
          <w:color w:val="auto"/>
          <w:lang w:val="en-US" w:eastAsia="zh-CN"/>
        </w:rPr>
        <w:t>，</w:t>
      </w:r>
      <w:r>
        <w:rPr>
          <w:rFonts w:hint="default"/>
          <w:color w:val="auto"/>
          <w:lang w:val="en-US" w:eastAsia="zh-CN"/>
        </w:rPr>
        <w:t>缓坡段长度大于50m。卸矿口标高+134.33m。</w:t>
      </w:r>
    </w:p>
    <w:p w14:paraId="496B9628">
      <w:pPr>
        <w:rPr>
          <w:rFonts w:hint="default"/>
          <w:color w:val="auto"/>
          <w:lang w:val="en-US" w:eastAsia="zh-CN"/>
        </w:rPr>
      </w:pPr>
      <w:r>
        <w:rPr>
          <w:rFonts w:hint="default"/>
          <w:color w:val="auto"/>
          <w:lang w:val="en-US" w:eastAsia="zh-CN"/>
        </w:rPr>
        <w:t>2</w:t>
      </w:r>
      <w:r>
        <w:rPr>
          <w:rFonts w:hint="eastAsia" w:ascii="Times New Roman" w:hAnsi="Times New Roman" w:eastAsia="宋体" w:cs="Times New Roman"/>
          <w:color w:val="auto"/>
          <w:lang w:val="en-US" w:eastAsia="zh-CN"/>
        </w:rPr>
        <w:t xml:space="preserve">. </w:t>
      </w:r>
      <w:r>
        <w:rPr>
          <w:rFonts w:hint="default"/>
          <w:color w:val="auto"/>
          <w:lang w:val="en-US" w:eastAsia="zh-CN"/>
        </w:rPr>
        <w:t>运输方</w:t>
      </w:r>
      <w:r>
        <w:rPr>
          <w:rFonts w:hint="eastAsia"/>
          <w:color w:val="auto"/>
          <w:lang w:val="en-US" w:eastAsia="zh-CN"/>
        </w:rPr>
        <w:t>式</w:t>
      </w:r>
    </w:p>
    <w:p w14:paraId="000082C6">
      <w:pPr>
        <w:rPr>
          <w:rFonts w:hint="default"/>
          <w:color w:val="auto"/>
          <w:lang w:val="en-US" w:eastAsia="zh-CN"/>
        </w:rPr>
      </w:pPr>
      <w:r>
        <w:rPr>
          <w:rFonts w:hint="default"/>
          <w:color w:val="auto"/>
          <w:lang w:val="en-US" w:eastAsia="zh-CN"/>
        </w:rPr>
        <w:t>采用自卸式载重汽车，沿矿区运输公路驶至采场，经机械装矿后，原路返回，</w:t>
      </w:r>
      <w:r>
        <w:rPr>
          <w:rFonts w:hint="eastAsia"/>
          <w:color w:val="auto"/>
          <w:lang w:val="en-US" w:eastAsia="zh-CN"/>
        </w:rPr>
        <w:t>直接</w:t>
      </w:r>
      <w:r>
        <w:rPr>
          <w:rFonts w:hint="default"/>
          <w:color w:val="auto"/>
          <w:lang w:val="en-US" w:eastAsia="zh-CN"/>
        </w:rPr>
        <w:t>驶</w:t>
      </w:r>
      <w:r>
        <w:rPr>
          <w:rFonts w:hint="eastAsia"/>
          <w:color w:val="auto"/>
          <w:lang w:val="en-US" w:eastAsia="zh-CN"/>
        </w:rPr>
        <w:t>入</w:t>
      </w:r>
      <w:r>
        <w:rPr>
          <w:rFonts w:hint="default"/>
          <w:color w:val="auto"/>
          <w:lang w:val="en-US" w:eastAsia="zh-CN"/>
        </w:rPr>
        <w:t>破碎站破碎。矿山配备</w:t>
      </w:r>
      <w:r>
        <w:rPr>
          <w:rFonts w:hint="eastAsia"/>
          <w:color w:val="auto"/>
          <w:lang w:val="en-US" w:eastAsia="zh-CN"/>
        </w:rPr>
        <w:t>了8</w:t>
      </w:r>
      <w:r>
        <w:rPr>
          <w:rFonts w:hint="default"/>
          <w:color w:val="auto"/>
          <w:lang w:val="en-US" w:eastAsia="zh-CN"/>
        </w:rPr>
        <w:t>台型号为STL3601PK3940W0非公路矿用自卸车</w:t>
      </w:r>
      <w:r>
        <w:rPr>
          <w:rFonts w:hint="eastAsia"/>
          <w:color w:val="auto"/>
          <w:lang w:val="en-US" w:eastAsia="zh-CN"/>
        </w:rPr>
        <w:t>、</w:t>
      </w:r>
      <w:r>
        <w:rPr>
          <w:rFonts w:hint="default"/>
          <w:color w:val="auto"/>
          <w:lang w:val="en-US" w:eastAsia="zh-CN"/>
        </w:rPr>
        <w:t>功率316</w:t>
      </w:r>
      <w:r>
        <w:rPr>
          <w:rFonts w:hint="eastAsia"/>
          <w:color w:val="auto"/>
          <w:lang w:val="en-US" w:eastAsia="zh-CN"/>
        </w:rPr>
        <w:t>k</w:t>
      </w:r>
      <w:r>
        <w:rPr>
          <w:rFonts w:hint="default"/>
          <w:color w:val="auto"/>
          <w:lang w:val="en-US" w:eastAsia="zh-CN"/>
        </w:rPr>
        <w:t>W</w:t>
      </w:r>
      <w:r>
        <w:rPr>
          <w:rFonts w:hint="eastAsia"/>
          <w:color w:val="auto"/>
          <w:lang w:val="en-US" w:eastAsia="zh-CN"/>
        </w:rPr>
        <w:t>。</w:t>
      </w:r>
    </w:p>
    <w:p w14:paraId="1F4B7EBD">
      <w:pPr>
        <w:pStyle w:val="4"/>
        <w:bidi w:val="0"/>
        <w:rPr>
          <w:rFonts w:hint="default"/>
          <w:color w:val="auto"/>
          <w:lang w:val="en-US" w:eastAsia="zh-CN"/>
        </w:rPr>
      </w:pPr>
      <w:bookmarkStart w:id="110" w:name="_Toc843"/>
      <w:bookmarkStart w:id="111" w:name="_Toc16748"/>
      <w:bookmarkStart w:id="112" w:name="_Toc23589"/>
      <w:r>
        <w:rPr>
          <w:rFonts w:hint="default"/>
          <w:color w:val="auto"/>
          <w:lang w:val="en-US" w:eastAsia="zh-CN"/>
        </w:rPr>
        <w:t>2.</w:t>
      </w:r>
      <w:r>
        <w:rPr>
          <w:rFonts w:hint="eastAsia"/>
          <w:color w:val="auto"/>
          <w:lang w:val="en-US" w:eastAsia="zh-CN"/>
        </w:rPr>
        <w:t>4</w:t>
      </w:r>
      <w:r>
        <w:rPr>
          <w:rFonts w:hint="default"/>
          <w:color w:val="auto"/>
          <w:lang w:val="en-US" w:eastAsia="zh-CN"/>
        </w:rPr>
        <w:t>.</w:t>
      </w:r>
      <w:r>
        <w:rPr>
          <w:rFonts w:hint="eastAsia"/>
          <w:color w:val="auto"/>
          <w:lang w:val="en-US" w:eastAsia="zh-CN"/>
        </w:rPr>
        <w:t>7</w:t>
      </w:r>
      <w:r>
        <w:rPr>
          <w:rFonts w:hint="default"/>
          <w:color w:val="auto"/>
          <w:lang w:val="en-US" w:eastAsia="zh-CN"/>
        </w:rPr>
        <w:t xml:space="preserve"> 采矿工艺</w:t>
      </w:r>
      <w:bookmarkEnd w:id="110"/>
      <w:bookmarkEnd w:id="111"/>
      <w:bookmarkEnd w:id="112"/>
    </w:p>
    <w:p w14:paraId="26D825BB">
      <w:pPr>
        <w:rPr>
          <w:rFonts w:hint="default"/>
          <w:color w:val="auto"/>
          <w:lang w:val="en-US" w:eastAsia="zh-CN"/>
        </w:rPr>
      </w:pPr>
      <w:r>
        <w:rPr>
          <w:rFonts w:hint="default"/>
          <w:color w:val="auto"/>
          <w:lang w:val="en-US" w:eastAsia="zh-CN"/>
        </w:rPr>
        <w:t>1</w:t>
      </w:r>
      <w:r>
        <w:rPr>
          <w:rFonts w:hint="eastAsia"/>
          <w:color w:val="auto"/>
          <w:lang w:val="en-US" w:eastAsia="zh-CN"/>
        </w:rPr>
        <w:t xml:space="preserve">. </w:t>
      </w:r>
      <w:r>
        <w:rPr>
          <w:rFonts w:hint="default"/>
          <w:color w:val="auto"/>
          <w:lang w:val="en-US" w:eastAsia="zh-CN"/>
        </w:rPr>
        <w:t>开采方式</w:t>
      </w:r>
      <w:r>
        <w:rPr>
          <w:rFonts w:hint="eastAsia"/>
          <w:color w:val="auto"/>
          <w:lang w:val="en-US" w:eastAsia="zh-CN"/>
        </w:rPr>
        <w:t>：</w:t>
      </w:r>
      <w:r>
        <w:rPr>
          <w:rFonts w:hint="default"/>
          <w:color w:val="auto"/>
          <w:lang w:val="en-US" w:eastAsia="zh-CN"/>
        </w:rPr>
        <w:t>矿山开采为山坡露天开采方式，自上而下分台阶开采，现开采方向总体为由西北往东南推进。</w:t>
      </w:r>
    </w:p>
    <w:p w14:paraId="5FD212B2">
      <w:pPr>
        <w:rPr>
          <w:rFonts w:hint="default"/>
          <w:color w:val="auto"/>
          <w:lang w:val="en-US" w:eastAsia="zh-CN"/>
        </w:rPr>
      </w:pPr>
      <w:r>
        <w:rPr>
          <w:rFonts w:hint="default"/>
          <w:color w:val="auto"/>
          <w:lang w:val="en-US" w:eastAsia="zh-CN"/>
        </w:rPr>
        <w:t>2</w:t>
      </w:r>
      <w:r>
        <w:rPr>
          <w:rFonts w:hint="eastAsia"/>
          <w:color w:val="auto"/>
          <w:lang w:val="en-US" w:eastAsia="zh-CN"/>
        </w:rPr>
        <w:t xml:space="preserve">. </w:t>
      </w:r>
      <w:r>
        <w:rPr>
          <w:rFonts w:hint="default"/>
          <w:color w:val="auto"/>
          <w:lang w:val="en-US" w:eastAsia="zh-CN"/>
        </w:rPr>
        <w:t>露天采场工作台阶几何要素现状</w:t>
      </w:r>
    </w:p>
    <w:p w14:paraId="1A7EAFA6">
      <w:pPr>
        <w:rPr>
          <w:rFonts w:hint="default"/>
          <w:color w:val="auto"/>
          <w:lang w:val="en-US" w:eastAsia="zh-CN"/>
        </w:rPr>
      </w:pPr>
      <w:r>
        <w:rPr>
          <w:rFonts w:hint="default"/>
          <w:color w:val="auto"/>
          <w:lang w:val="en-US" w:eastAsia="zh-CN"/>
        </w:rPr>
        <w:t>根据</w:t>
      </w:r>
      <w:r>
        <w:rPr>
          <w:rFonts w:hint="default"/>
          <w:b w:val="0"/>
          <w:bCs w:val="0"/>
          <w:color w:val="auto"/>
          <w:lang w:val="en-US" w:eastAsia="zh-CN"/>
        </w:rPr>
        <w:t>企业202</w:t>
      </w:r>
      <w:r>
        <w:rPr>
          <w:rFonts w:hint="eastAsia"/>
          <w:b w:val="0"/>
          <w:bCs w:val="0"/>
          <w:color w:val="auto"/>
          <w:lang w:val="en-US" w:eastAsia="zh-CN"/>
        </w:rPr>
        <w:t>5</w:t>
      </w:r>
      <w:r>
        <w:rPr>
          <w:rFonts w:hint="default"/>
          <w:b w:val="0"/>
          <w:bCs w:val="0"/>
          <w:color w:val="auto"/>
          <w:lang w:val="en-US" w:eastAsia="zh-CN"/>
        </w:rPr>
        <w:t>年7月提供的</w:t>
      </w:r>
      <w:r>
        <w:rPr>
          <w:rFonts w:hint="default"/>
          <w:color w:val="auto"/>
          <w:lang w:val="en-US" w:eastAsia="zh-CN"/>
        </w:rPr>
        <w:t>开采现状图及现场勘察</w:t>
      </w:r>
      <w:r>
        <w:rPr>
          <w:rFonts w:hint="eastAsia"/>
          <w:color w:val="auto"/>
          <w:lang w:val="en-US" w:eastAsia="zh-CN"/>
        </w:rPr>
        <w:t>情况</w:t>
      </w:r>
      <w:r>
        <w:rPr>
          <w:rFonts w:hint="default"/>
          <w:color w:val="auto"/>
          <w:lang w:val="en-US" w:eastAsia="zh-CN"/>
        </w:rPr>
        <w:t>，目前矿山按照设计已开采至+221m平台，其中+2</w:t>
      </w:r>
      <w:r>
        <w:rPr>
          <w:rFonts w:hint="eastAsia"/>
          <w:color w:val="auto"/>
          <w:lang w:val="en-US" w:eastAsia="zh-CN"/>
        </w:rPr>
        <w:t>47</w:t>
      </w:r>
      <w:r>
        <w:rPr>
          <w:rFonts w:hint="default"/>
          <w:color w:val="auto"/>
          <w:lang w:val="en-US" w:eastAsia="zh-CN"/>
        </w:rPr>
        <w:t>m平台、+234m平台作为同时生产平台</w:t>
      </w:r>
      <w:r>
        <w:rPr>
          <w:rFonts w:hint="eastAsia"/>
          <w:color w:val="auto"/>
          <w:lang w:val="en-US" w:eastAsia="zh-CN"/>
        </w:rPr>
        <w:t>，</w:t>
      </w:r>
      <w:r>
        <w:rPr>
          <w:rFonts w:hint="default"/>
          <w:color w:val="auto"/>
          <w:lang w:val="en-US" w:eastAsia="zh-CN"/>
        </w:rPr>
        <w:t>+221m平台</w:t>
      </w:r>
      <w:r>
        <w:rPr>
          <w:rFonts w:hint="eastAsia"/>
          <w:color w:val="auto"/>
          <w:lang w:val="en-US" w:eastAsia="zh-CN"/>
        </w:rPr>
        <w:t>作为备采平台</w:t>
      </w:r>
      <w:r>
        <w:rPr>
          <w:rFonts w:hint="default"/>
          <w:color w:val="auto"/>
          <w:lang w:val="en-US" w:eastAsia="zh-CN"/>
        </w:rPr>
        <w:t>，+2</w:t>
      </w:r>
      <w:r>
        <w:rPr>
          <w:rFonts w:hint="eastAsia"/>
          <w:color w:val="auto"/>
          <w:lang w:val="en-US" w:eastAsia="zh-CN"/>
        </w:rPr>
        <w:t>47</w:t>
      </w:r>
      <w:r>
        <w:rPr>
          <w:rFonts w:hint="default"/>
          <w:color w:val="auto"/>
          <w:lang w:val="en-US" w:eastAsia="zh-CN"/>
        </w:rPr>
        <w:t>m平台以上的台阶已靠帮形成最终平台。各平台参数如下：</w:t>
      </w:r>
    </w:p>
    <w:p w14:paraId="4E2EC33E">
      <w:pPr>
        <w:rPr>
          <w:rFonts w:hint="eastAsia"/>
          <w:b/>
          <w:bCs/>
          <w:color w:val="auto"/>
          <w:lang w:val="en-US" w:eastAsia="zh-CN"/>
        </w:rPr>
      </w:pPr>
      <w:r>
        <w:rPr>
          <w:rFonts w:hint="default"/>
          <w:color w:val="auto"/>
          <w:lang w:val="en-US" w:eastAsia="zh-CN"/>
        </w:rPr>
        <w:t>第一级平台为</w:t>
      </w:r>
      <w:r>
        <w:rPr>
          <w:rFonts w:hint="eastAsia"/>
          <w:color w:val="auto"/>
          <w:lang w:val="en-US" w:eastAsia="zh-CN"/>
        </w:rPr>
        <w:t>+</w:t>
      </w:r>
      <w:r>
        <w:rPr>
          <w:rFonts w:hint="default"/>
          <w:color w:val="auto"/>
          <w:lang w:val="en-US" w:eastAsia="zh-CN"/>
        </w:rPr>
        <w:t>364m平台，标高在+362.31m～+365.</w:t>
      </w:r>
      <w:r>
        <w:rPr>
          <w:rFonts w:hint="eastAsia"/>
          <w:color w:val="auto"/>
          <w:lang w:val="en-US" w:eastAsia="zh-CN"/>
        </w:rPr>
        <w:t>94</w:t>
      </w:r>
      <w:r>
        <w:rPr>
          <w:rFonts w:hint="default"/>
          <w:color w:val="auto"/>
          <w:lang w:val="en-US" w:eastAsia="zh-CN"/>
        </w:rPr>
        <w:t>m，平台长约2</w:t>
      </w:r>
      <w:r>
        <w:rPr>
          <w:rFonts w:hint="eastAsia"/>
          <w:color w:val="auto"/>
          <w:lang w:val="en-US" w:eastAsia="zh-CN"/>
        </w:rPr>
        <w:t>02</w:t>
      </w:r>
      <w:r>
        <w:rPr>
          <w:rFonts w:hint="default"/>
          <w:color w:val="auto"/>
          <w:lang w:val="en-US" w:eastAsia="zh-CN"/>
        </w:rPr>
        <w:t>m，平均宽约5m</w:t>
      </w:r>
      <w:r>
        <w:rPr>
          <w:rFonts w:hint="eastAsia"/>
          <w:color w:val="auto"/>
          <w:lang w:val="en-US" w:eastAsia="zh-CN"/>
        </w:rPr>
        <w:t>；</w:t>
      </w:r>
      <w:r>
        <w:rPr>
          <w:rFonts w:hint="default"/>
          <w:color w:val="auto"/>
          <w:lang w:val="en-US" w:eastAsia="zh-CN"/>
        </w:rPr>
        <w:t>第二级平台为</w:t>
      </w:r>
      <w:r>
        <w:rPr>
          <w:rFonts w:hint="eastAsia"/>
          <w:color w:val="auto"/>
          <w:lang w:val="en-US" w:eastAsia="zh-CN"/>
        </w:rPr>
        <w:t>+</w:t>
      </w:r>
      <w:r>
        <w:rPr>
          <w:rFonts w:hint="default"/>
          <w:color w:val="auto"/>
          <w:lang w:val="en-US" w:eastAsia="zh-CN"/>
        </w:rPr>
        <w:t>351m平台，标高在+349.48m～+353.81m，平台长约</w:t>
      </w:r>
      <w:r>
        <w:rPr>
          <w:rFonts w:hint="eastAsia"/>
          <w:color w:val="auto"/>
          <w:lang w:val="en-US" w:eastAsia="zh-CN"/>
        </w:rPr>
        <w:t>279</w:t>
      </w:r>
      <w:r>
        <w:rPr>
          <w:rFonts w:hint="default"/>
          <w:color w:val="auto"/>
          <w:lang w:val="en-US" w:eastAsia="zh-CN"/>
        </w:rPr>
        <w:t>m，平均宽约5m，至上部平台高度约为13m，坡面角约为</w:t>
      </w:r>
      <w:r>
        <w:rPr>
          <w:rFonts w:hint="eastAsia"/>
          <w:color w:val="auto"/>
          <w:lang w:val="en-US" w:eastAsia="zh-CN"/>
        </w:rPr>
        <w:t>54</w:t>
      </w:r>
      <w:r>
        <w:rPr>
          <w:rFonts w:hint="eastAsia" w:ascii="宋体" w:hAnsi="宋体" w:eastAsia="宋体" w:cs="宋体"/>
          <w:color w:val="auto"/>
          <w:lang w:val="en-US" w:eastAsia="zh-CN"/>
        </w:rPr>
        <w:t>°</w:t>
      </w:r>
      <w:r>
        <w:rPr>
          <w:rFonts w:hint="eastAsia"/>
          <w:color w:val="auto"/>
          <w:lang w:val="en-US" w:eastAsia="zh-CN"/>
        </w:rPr>
        <w:t>；</w:t>
      </w:r>
      <w:r>
        <w:rPr>
          <w:rFonts w:hint="default"/>
          <w:color w:val="auto"/>
          <w:lang w:val="en-US" w:eastAsia="zh-CN"/>
        </w:rPr>
        <w:t>第三级平台为</w:t>
      </w:r>
      <w:r>
        <w:rPr>
          <w:rFonts w:hint="eastAsia"/>
          <w:color w:val="auto"/>
          <w:lang w:val="en-US" w:eastAsia="zh-CN"/>
        </w:rPr>
        <w:t>+</w:t>
      </w:r>
      <w:r>
        <w:rPr>
          <w:rFonts w:hint="default"/>
          <w:color w:val="auto"/>
          <w:lang w:val="en-US" w:eastAsia="zh-CN"/>
        </w:rPr>
        <w:t>338m平台，标高在+336.75m～+338.30m，平台长约</w:t>
      </w:r>
      <w:r>
        <w:rPr>
          <w:rFonts w:hint="eastAsia"/>
          <w:color w:val="auto"/>
          <w:lang w:val="en-US" w:eastAsia="zh-CN"/>
        </w:rPr>
        <w:t>330</w:t>
      </w:r>
      <w:r>
        <w:rPr>
          <w:rFonts w:hint="default"/>
          <w:color w:val="auto"/>
          <w:lang w:val="en-US" w:eastAsia="zh-CN"/>
        </w:rPr>
        <w:t>m，平均宽约7m，至上部平台高度约为13m，坡面角约为65</w:t>
      </w:r>
      <w:r>
        <w:rPr>
          <w:rFonts w:hint="eastAsia" w:ascii="宋体" w:hAnsi="宋体" w:eastAsia="宋体" w:cs="宋体"/>
          <w:color w:val="auto"/>
          <w:lang w:val="en-US" w:eastAsia="zh-CN"/>
        </w:rPr>
        <w:t>°</w:t>
      </w:r>
      <w:r>
        <w:rPr>
          <w:rFonts w:hint="eastAsia"/>
          <w:color w:val="auto"/>
          <w:lang w:val="en-US" w:eastAsia="zh-CN"/>
        </w:rPr>
        <w:t>；</w:t>
      </w:r>
      <w:r>
        <w:rPr>
          <w:rFonts w:hint="default"/>
          <w:color w:val="auto"/>
          <w:lang w:val="en-US" w:eastAsia="zh-CN"/>
        </w:rPr>
        <w:t>第四级平台为</w:t>
      </w:r>
      <w:r>
        <w:rPr>
          <w:rFonts w:hint="eastAsia"/>
          <w:color w:val="auto"/>
          <w:lang w:val="en-US" w:eastAsia="zh-CN"/>
        </w:rPr>
        <w:t>+</w:t>
      </w:r>
      <w:r>
        <w:rPr>
          <w:rFonts w:hint="default"/>
          <w:color w:val="auto"/>
          <w:lang w:val="en-US" w:eastAsia="zh-CN"/>
        </w:rPr>
        <w:t>325m平台，标高在+325m～+326.54m，平台长约</w:t>
      </w:r>
      <w:r>
        <w:rPr>
          <w:rFonts w:hint="eastAsia"/>
          <w:color w:val="auto"/>
          <w:lang w:val="en-US" w:eastAsia="zh-CN"/>
        </w:rPr>
        <w:t>374</w:t>
      </w:r>
      <w:r>
        <w:rPr>
          <w:rFonts w:hint="default"/>
          <w:color w:val="auto"/>
          <w:lang w:val="en-US" w:eastAsia="zh-CN"/>
        </w:rPr>
        <w:t>m，平均宽约5m，至上部平台高度约为13m</w:t>
      </w:r>
      <w:r>
        <w:rPr>
          <w:rFonts w:hint="eastAsia"/>
          <w:color w:val="auto"/>
          <w:lang w:val="en-US" w:eastAsia="zh-CN"/>
        </w:rPr>
        <w:t>，</w:t>
      </w:r>
      <w:r>
        <w:rPr>
          <w:rFonts w:hint="default"/>
          <w:color w:val="auto"/>
          <w:lang w:val="en-US" w:eastAsia="zh-CN"/>
        </w:rPr>
        <w:t>坡面角约为</w:t>
      </w:r>
      <w:r>
        <w:rPr>
          <w:rFonts w:hint="eastAsia"/>
          <w:color w:val="auto"/>
          <w:lang w:val="en-US" w:eastAsia="zh-CN"/>
        </w:rPr>
        <w:t>62</w:t>
      </w:r>
      <w:r>
        <w:rPr>
          <w:rFonts w:hint="eastAsia" w:ascii="宋体" w:hAnsi="宋体" w:eastAsia="宋体" w:cs="宋体"/>
          <w:color w:val="auto"/>
          <w:lang w:val="en-US" w:eastAsia="zh-CN"/>
        </w:rPr>
        <w:t>°</w:t>
      </w:r>
      <w:r>
        <w:rPr>
          <w:rFonts w:hint="eastAsia"/>
          <w:color w:val="auto"/>
          <w:lang w:val="en-US" w:eastAsia="zh-CN"/>
        </w:rPr>
        <w:t>；</w:t>
      </w:r>
      <w:r>
        <w:rPr>
          <w:rFonts w:hint="default"/>
          <w:color w:val="auto"/>
          <w:lang w:val="en-US" w:eastAsia="zh-CN"/>
        </w:rPr>
        <w:t>第五级平台为</w:t>
      </w:r>
      <w:r>
        <w:rPr>
          <w:rFonts w:hint="eastAsia"/>
          <w:color w:val="auto"/>
          <w:lang w:val="en-US" w:eastAsia="zh-CN"/>
        </w:rPr>
        <w:t>+</w:t>
      </w:r>
      <w:r>
        <w:rPr>
          <w:rFonts w:hint="default"/>
          <w:color w:val="auto"/>
          <w:lang w:val="en-US" w:eastAsia="zh-CN"/>
        </w:rPr>
        <w:t>312m平台</w:t>
      </w:r>
      <w:r>
        <w:rPr>
          <w:rFonts w:hint="eastAsia"/>
          <w:color w:val="auto"/>
          <w:lang w:val="en-US" w:eastAsia="zh-CN"/>
        </w:rPr>
        <w:t>，</w:t>
      </w:r>
      <w:r>
        <w:rPr>
          <w:rFonts w:hint="default"/>
          <w:color w:val="auto"/>
          <w:lang w:val="en-US" w:eastAsia="zh-CN"/>
        </w:rPr>
        <w:t>标高在+312.33m～+313.59m，平台长</w:t>
      </w:r>
      <w:r>
        <w:rPr>
          <w:rFonts w:hint="eastAsia"/>
          <w:color w:val="auto"/>
          <w:lang w:val="en-US" w:eastAsia="zh-CN"/>
        </w:rPr>
        <w:t>508</w:t>
      </w:r>
      <w:r>
        <w:rPr>
          <w:rFonts w:hint="default"/>
          <w:color w:val="auto"/>
          <w:lang w:val="en-US" w:eastAsia="zh-CN"/>
        </w:rPr>
        <w:t>m，宽约5m，至上部平台高度约为13m，坡面角约为</w:t>
      </w:r>
      <w:r>
        <w:rPr>
          <w:rFonts w:hint="eastAsia"/>
          <w:color w:val="auto"/>
          <w:lang w:val="en-US" w:eastAsia="zh-CN"/>
        </w:rPr>
        <w:t>56</w:t>
      </w:r>
      <w:r>
        <w:rPr>
          <w:rFonts w:hint="eastAsia" w:ascii="宋体" w:hAnsi="宋体" w:eastAsia="宋体" w:cs="宋体"/>
          <w:color w:val="auto"/>
          <w:lang w:val="en-US" w:eastAsia="zh-CN"/>
        </w:rPr>
        <w:t>°</w:t>
      </w:r>
      <w:r>
        <w:rPr>
          <w:rFonts w:hint="default"/>
          <w:color w:val="auto"/>
          <w:lang w:val="en-US" w:eastAsia="zh-CN"/>
        </w:rPr>
        <w:t>。第六级平台为</w:t>
      </w:r>
      <w:r>
        <w:rPr>
          <w:rFonts w:hint="eastAsia"/>
          <w:color w:val="auto"/>
          <w:lang w:val="en-US" w:eastAsia="zh-CN"/>
        </w:rPr>
        <w:t>+</w:t>
      </w:r>
      <w:r>
        <w:rPr>
          <w:rFonts w:hint="default"/>
          <w:color w:val="auto"/>
          <w:lang w:val="en-US" w:eastAsia="zh-CN"/>
        </w:rPr>
        <w:t>299m平台，标高在+297.80m～+300.10m</w:t>
      </w:r>
      <w:r>
        <w:rPr>
          <w:rFonts w:hint="eastAsia"/>
          <w:color w:val="auto"/>
          <w:lang w:val="en-US" w:eastAsia="zh-CN"/>
        </w:rPr>
        <w:t>，</w:t>
      </w:r>
      <w:r>
        <w:rPr>
          <w:rFonts w:hint="default"/>
          <w:color w:val="auto"/>
          <w:lang w:val="en-US" w:eastAsia="zh-CN"/>
        </w:rPr>
        <w:t>平台长约</w:t>
      </w:r>
      <w:r>
        <w:rPr>
          <w:rFonts w:hint="eastAsia"/>
          <w:color w:val="auto"/>
          <w:lang w:val="en-US" w:eastAsia="zh-CN"/>
        </w:rPr>
        <w:t>534</w:t>
      </w:r>
      <w:r>
        <w:rPr>
          <w:rFonts w:hint="default"/>
          <w:color w:val="auto"/>
          <w:lang w:val="en-US" w:eastAsia="zh-CN"/>
        </w:rPr>
        <w:t>m</w:t>
      </w:r>
      <w:r>
        <w:rPr>
          <w:rFonts w:hint="eastAsia"/>
          <w:color w:val="auto"/>
          <w:lang w:val="en-US" w:eastAsia="zh-CN"/>
        </w:rPr>
        <w:t>，</w:t>
      </w:r>
      <w:r>
        <w:rPr>
          <w:rFonts w:hint="default"/>
          <w:color w:val="auto"/>
          <w:lang w:val="en-US" w:eastAsia="zh-CN"/>
        </w:rPr>
        <w:t>宽约7m，至上部平台高度约为13m</w:t>
      </w:r>
      <w:r>
        <w:rPr>
          <w:rFonts w:hint="eastAsia"/>
          <w:color w:val="auto"/>
          <w:lang w:val="en-US" w:eastAsia="zh-CN"/>
        </w:rPr>
        <w:t>，</w:t>
      </w:r>
      <w:r>
        <w:rPr>
          <w:rFonts w:hint="default"/>
          <w:color w:val="auto"/>
          <w:lang w:val="en-US" w:eastAsia="zh-CN"/>
        </w:rPr>
        <w:t>坡面角约为65</w:t>
      </w:r>
      <w:r>
        <w:rPr>
          <w:rFonts w:hint="eastAsia" w:ascii="宋体" w:hAnsi="宋体" w:eastAsia="宋体" w:cs="宋体"/>
          <w:color w:val="auto"/>
          <w:lang w:val="en-US" w:eastAsia="zh-CN"/>
        </w:rPr>
        <w:t>°</w:t>
      </w:r>
      <w:r>
        <w:rPr>
          <w:rFonts w:hint="default"/>
          <w:color w:val="auto"/>
          <w:lang w:val="en-US" w:eastAsia="zh-CN"/>
        </w:rPr>
        <w:t>。第七级平台约为</w:t>
      </w:r>
      <w:r>
        <w:rPr>
          <w:rFonts w:hint="eastAsia"/>
          <w:color w:val="auto"/>
          <w:lang w:val="en-US" w:eastAsia="zh-CN"/>
        </w:rPr>
        <w:t>+</w:t>
      </w:r>
      <w:r>
        <w:rPr>
          <w:rFonts w:hint="default"/>
          <w:color w:val="auto"/>
          <w:lang w:val="en-US" w:eastAsia="zh-CN"/>
        </w:rPr>
        <w:t>286m平台，标高在+286.61m～+287.05m，平台长约</w:t>
      </w:r>
      <w:r>
        <w:rPr>
          <w:rFonts w:hint="eastAsia"/>
          <w:color w:val="auto"/>
          <w:lang w:val="en-US" w:eastAsia="zh-CN"/>
        </w:rPr>
        <w:t>560</w:t>
      </w:r>
      <w:r>
        <w:rPr>
          <w:rFonts w:hint="default"/>
          <w:color w:val="auto"/>
          <w:lang w:val="en-US" w:eastAsia="zh-CN"/>
        </w:rPr>
        <w:t>m，宽约5m，至上部平台高度约为13m</w:t>
      </w:r>
      <w:r>
        <w:rPr>
          <w:rFonts w:hint="eastAsia"/>
          <w:color w:val="auto"/>
          <w:lang w:val="en-US" w:eastAsia="zh-CN"/>
        </w:rPr>
        <w:t>，</w:t>
      </w:r>
      <w:r>
        <w:rPr>
          <w:rFonts w:hint="default"/>
          <w:color w:val="auto"/>
          <w:lang w:val="en-US" w:eastAsia="zh-CN"/>
        </w:rPr>
        <w:t>坡面角约为65</w:t>
      </w:r>
      <w:r>
        <w:rPr>
          <w:rFonts w:hint="eastAsia" w:ascii="宋体" w:hAnsi="宋体" w:eastAsia="宋体" w:cs="宋体"/>
          <w:color w:val="auto"/>
          <w:lang w:val="en-US" w:eastAsia="zh-CN"/>
        </w:rPr>
        <w:t>°</w:t>
      </w:r>
      <w:r>
        <w:rPr>
          <w:rFonts w:hint="default"/>
          <w:color w:val="auto"/>
          <w:lang w:val="en-US" w:eastAsia="zh-CN"/>
        </w:rPr>
        <w:t>。第八级平台为</w:t>
      </w:r>
      <w:r>
        <w:rPr>
          <w:rFonts w:hint="eastAsia"/>
          <w:color w:val="auto"/>
          <w:lang w:val="en-US" w:eastAsia="zh-CN"/>
        </w:rPr>
        <w:t>+</w:t>
      </w:r>
      <w:r>
        <w:rPr>
          <w:rFonts w:hint="default"/>
          <w:color w:val="auto"/>
          <w:lang w:val="en-US" w:eastAsia="zh-CN"/>
        </w:rPr>
        <w:t>273m平台，标高在+272.36m～+273.88m，平台长约</w:t>
      </w:r>
      <w:r>
        <w:rPr>
          <w:rFonts w:hint="eastAsia"/>
          <w:color w:val="auto"/>
          <w:lang w:val="en-US" w:eastAsia="zh-CN"/>
        </w:rPr>
        <w:t>678</w:t>
      </w:r>
      <w:r>
        <w:rPr>
          <w:rFonts w:hint="default"/>
          <w:color w:val="auto"/>
          <w:lang w:val="en-US" w:eastAsia="zh-CN"/>
        </w:rPr>
        <w:t>m，平均宽约</w:t>
      </w:r>
      <w:r>
        <w:rPr>
          <w:rFonts w:hint="eastAsia"/>
          <w:color w:val="auto"/>
          <w:lang w:val="en-US" w:eastAsia="zh-CN"/>
        </w:rPr>
        <w:t>5</w:t>
      </w:r>
      <w:r>
        <w:rPr>
          <w:rFonts w:hint="default"/>
          <w:color w:val="auto"/>
          <w:lang w:val="en-US" w:eastAsia="zh-CN"/>
        </w:rPr>
        <w:t>m，至上部平台高度约为13m，坡面角约为</w:t>
      </w:r>
      <w:r>
        <w:rPr>
          <w:rFonts w:hint="eastAsia"/>
          <w:color w:val="auto"/>
          <w:lang w:val="en-US" w:eastAsia="zh-CN"/>
        </w:rPr>
        <w:t>63</w:t>
      </w:r>
      <w:r>
        <w:rPr>
          <w:rFonts w:hint="eastAsia" w:ascii="宋体" w:hAnsi="宋体" w:eastAsia="宋体" w:cs="宋体"/>
          <w:color w:val="auto"/>
          <w:lang w:val="en-US" w:eastAsia="zh-CN"/>
        </w:rPr>
        <w:t>°</w:t>
      </w:r>
      <w:r>
        <w:rPr>
          <w:rFonts w:hint="default"/>
          <w:color w:val="auto"/>
          <w:lang w:val="en-US" w:eastAsia="zh-CN"/>
        </w:rPr>
        <w:t>。第九级平台为</w:t>
      </w:r>
      <w:r>
        <w:rPr>
          <w:rFonts w:hint="eastAsia"/>
          <w:color w:val="auto"/>
          <w:lang w:val="en-US" w:eastAsia="zh-CN"/>
        </w:rPr>
        <w:t>+</w:t>
      </w:r>
      <w:r>
        <w:rPr>
          <w:rFonts w:hint="default"/>
          <w:color w:val="auto"/>
          <w:lang w:val="en-US" w:eastAsia="zh-CN"/>
        </w:rPr>
        <w:t>260m平台，标高在+257.15m～+260.49m，平台长约</w:t>
      </w:r>
      <w:r>
        <w:rPr>
          <w:rFonts w:hint="eastAsia"/>
          <w:color w:val="auto"/>
          <w:lang w:val="en-US" w:eastAsia="zh-CN"/>
        </w:rPr>
        <w:t>842</w:t>
      </w:r>
      <w:r>
        <w:rPr>
          <w:rFonts w:hint="default"/>
          <w:color w:val="auto"/>
          <w:lang w:val="en-US" w:eastAsia="zh-CN"/>
        </w:rPr>
        <w:t>m，平均宽约</w:t>
      </w:r>
      <w:r>
        <w:rPr>
          <w:rFonts w:hint="eastAsia"/>
          <w:color w:val="auto"/>
          <w:lang w:val="en-US" w:eastAsia="zh-CN"/>
        </w:rPr>
        <w:t>7</w:t>
      </w:r>
      <w:r>
        <w:rPr>
          <w:rFonts w:hint="default"/>
          <w:color w:val="auto"/>
          <w:lang w:val="en-US" w:eastAsia="zh-CN"/>
        </w:rPr>
        <w:t>m，至上部平台高度约为13m，坡面角约为</w:t>
      </w:r>
      <w:r>
        <w:rPr>
          <w:rFonts w:hint="eastAsia"/>
          <w:color w:val="auto"/>
          <w:lang w:val="en-US" w:eastAsia="zh-CN"/>
        </w:rPr>
        <w:t>63</w:t>
      </w:r>
      <w:r>
        <w:rPr>
          <w:rFonts w:hint="eastAsia" w:ascii="宋体" w:hAnsi="宋体" w:eastAsia="宋体" w:cs="宋体"/>
          <w:color w:val="auto"/>
          <w:lang w:val="en-US" w:eastAsia="zh-CN"/>
        </w:rPr>
        <w:t>°</w:t>
      </w:r>
      <w:r>
        <w:rPr>
          <w:rFonts w:hint="default"/>
          <w:color w:val="auto"/>
          <w:lang w:val="en-US" w:eastAsia="zh-CN"/>
        </w:rPr>
        <w:t>。</w:t>
      </w:r>
      <w:r>
        <w:rPr>
          <w:rFonts w:hint="eastAsia" w:ascii="Times New Roman" w:hAnsi="Times New Roman" w:eastAsia="宋体" w:cs="Times New Roman"/>
          <w:color w:val="auto"/>
          <w:sz w:val="28"/>
          <w:szCs w:val="28"/>
          <w:lang w:val="en-US" w:eastAsia="zh-CN"/>
        </w:rPr>
        <w:t>以上平台已靠帮，并进行了生态复绿</w:t>
      </w:r>
      <w:r>
        <w:rPr>
          <w:rFonts w:hint="eastAsia" w:cs="Times New Roman"/>
          <w:color w:val="auto"/>
          <w:sz w:val="28"/>
          <w:szCs w:val="28"/>
          <w:lang w:val="en-US" w:eastAsia="zh-CN"/>
        </w:rPr>
        <w:t>，</w:t>
      </w:r>
      <w:r>
        <w:rPr>
          <w:rFonts w:hint="eastAsia" w:ascii="Times New Roman" w:hAnsi="Times New Roman" w:eastAsia="宋体" w:cs="Times New Roman"/>
          <w:color w:val="auto"/>
          <w:sz w:val="28"/>
          <w:szCs w:val="28"/>
          <w:lang w:val="en-US" w:eastAsia="zh-CN"/>
        </w:rPr>
        <w:t>其中：</w:t>
      </w:r>
      <w:r>
        <w:rPr>
          <w:rFonts w:hint="eastAsia" w:cs="Times New Roman"/>
          <w:color w:val="auto"/>
          <w:sz w:val="28"/>
          <w:szCs w:val="28"/>
          <w:lang w:val="en-US" w:eastAsia="zh-CN"/>
        </w:rPr>
        <w:t>+</w:t>
      </w:r>
      <w:r>
        <w:rPr>
          <w:rFonts w:hint="eastAsia" w:ascii="Times New Roman" w:hAnsi="Times New Roman" w:eastAsia="宋体" w:cs="Times New Roman"/>
          <w:color w:val="auto"/>
          <w:sz w:val="28"/>
          <w:szCs w:val="28"/>
          <w:lang w:val="en-US" w:eastAsia="zh-CN"/>
        </w:rPr>
        <w:t>364m、</w:t>
      </w:r>
      <w:r>
        <w:rPr>
          <w:rFonts w:hint="eastAsia" w:cs="Times New Roman"/>
          <w:color w:val="auto"/>
          <w:sz w:val="28"/>
          <w:szCs w:val="28"/>
          <w:lang w:val="en-US" w:eastAsia="zh-CN"/>
        </w:rPr>
        <w:t>+</w:t>
      </w:r>
      <w:r>
        <w:rPr>
          <w:rFonts w:hint="eastAsia" w:ascii="Times New Roman" w:hAnsi="Times New Roman" w:eastAsia="宋体" w:cs="Times New Roman"/>
          <w:color w:val="auto"/>
          <w:sz w:val="28"/>
          <w:szCs w:val="28"/>
          <w:lang w:val="en-US" w:eastAsia="zh-CN"/>
        </w:rPr>
        <w:t>351m、</w:t>
      </w:r>
      <w:r>
        <w:rPr>
          <w:rFonts w:hint="eastAsia" w:cs="Times New Roman"/>
          <w:color w:val="auto"/>
          <w:sz w:val="28"/>
          <w:szCs w:val="28"/>
          <w:lang w:val="en-US" w:eastAsia="zh-CN"/>
        </w:rPr>
        <w:t>+</w:t>
      </w:r>
      <w:r>
        <w:rPr>
          <w:rFonts w:hint="eastAsia" w:ascii="Times New Roman" w:hAnsi="Times New Roman" w:eastAsia="宋体" w:cs="Times New Roman"/>
          <w:color w:val="auto"/>
          <w:sz w:val="28"/>
          <w:szCs w:val="28"/>
          <w:lang w:val="en-US" w:eastAsia="zh-CN"/>
        </w:rPr>
        <w:t>325m、</w:t>
      </w:r>
      <w:r>
        <w:rPr>
          <w:rFonts w:hint="eastAsia" w:cs="Times New Roman"/>
          <w:color w:val="auto"/>
          <w:sz w:val="28"/>
          <w:szCs w:val="28"/>
          <w:lang w:val="en-US" w:eastAsia="zh-CN"/>
        </w:rPr>
        <w:t>+</w:t>
      </w:r>
      <w:r>
        <w:rPr>
          <w:rFonts w:hint="eastAsia" w:ascii="Times New Roman" w:hAnsi="Times New Roman" w:eastAsia="宋体" w:cs="Times New Roman"/>
          <w:color w:val="auto"/>
          <w:sz w:val="28"/>
          <w:szCs w:val="28"/>
          <w:lang w:val="en-US" w:eastAsia="zh-CN"/>
        </w:rPr>
        <w:t>312m、</w:t>
      </w:r>
      <w:r>
        <w:rPr>
          <w:rFonts w:hint="eastAsia" w:cs="Times New Roman"/>
          <w:color w:val="auto"/>
          <w:sz w:val="28"/>
          <w:szCs w:val="28"/>
          <w:lang w:val="en-US" w:eastAsia="zh-CN"/>
        </w:rPr>
        <w:t>+</w:t>
      </w:r>
      <w:r>
        <w:rPr>
          <w:rFonts w:hint="eastAsia" w:ascii="Times New Roman" w:hAnsi="Times New Roman" w:eastAsia="宋体" w:cs="Times New Roman"/>
          <w:color w:val="auto"/>
          <w:sz w:val="28"/>
          <w:szCs w:val="28"/>
          <w:lang w:val="en-US" w:eastAsia="zh-CN"/>
        </w:rPr>
        <w:t>286m、</w:t>
      </w:r>
      <w:r>
        <w:rPr>
          <w:rFonts w:hint="eastAsia" w:cs="Times New Roman"/>
          <w:color w:val="auto"/>
          <w:sz w:val="28"/>
          <w:szCs w:val="28"/>
          <w:lang w:val="en-US" w:eastAsia="zh-CN"/>
        </w:rPr>
        <w:t>+273m</w:t>
      </w:r>
      <w:r>
        <w:rPr>
          <w:rFonts w:hint="eastAsia" w:ascii="Times New Roman" w:hAnsi="Times New Roman" w:eastAsia="宋体" w:cs="Times New Roman"/>
          <w:color w:val="auto"/>
          <w:sz w:val="28"/>
          <w:szCs w:val="28"/>
          <w:lang w:val="en-US" w:eastAsia="zh-CN"/>
        </w:rPr>
        <w:t>为安全平台，</w:t>
      </w:r>
      <w:r>
        <w:rPr>
          <w:rFonts w:hint="eastAsia" w:cs="Times New Roman"/>
          <w:color w:val="auto"/>
          <w:sz w:val="28"/>
          <w:szCs w:val="28"/>
          <w:lang w:val="en-US" w:eastAsia="zh-CN"/>
        </w:rPr>
        <w:t>+</w:t>
      </w:r>
      <w:r>
        <w:rPr>
          <w:rFonts w:hint="eastAsia" w:ascii="Times New Roman" w:hAnsi="Times New Roman" w:eastAsia="宋体" w:cs="Times New Roman"/>
          <w:color w:val="auto"/>
          <w:sz w:val="28"/>
          <w:szCs w:val="28"/>
          <w:lang w:val="en-US" w:eastAsia="zh-CN"/>
        </w:rPr>
        <w:t>338m、</w:t>
      </w:r>
      <w:r>
        <w:rPr>
          <w:rFonts w:hint="eastAsia" w:cs="Times New Roman"/>
          <w:color w:val="auto"/>
          <w:sz w:val="28"/>
          <w:szCs w:val="28"/>
          <w:lang w:val="en-US" w:eastAsia="zh-CN"/>
        </w:rPr>
        <w:t>+</w:t>
      </w:r>
      <w:r>
        <w:rPr>
          <w:rFonts w:hint="eastAsia" w:ascii="Times New Roman" w:hAnsi="Times New Roman" w:eastAsia="宋体" w:cs="Times New Roman"/>
          <w:color w:val="auto"/>
          <w:sz w:val="28"/>
          <w:szCs w:val="28"/>
          <w:lang w:val="en-US" w:eastAsia="zh-CN"/>
        </w:rPr>
        <w:t>299m、</w:t>
      </w:r>
      <w:r>
        <w:rPr>
          <w:rFonts w:hint="eastAsia" w:cs="Times New Roman"/>
          <w:color w:val="auto"/>
          <w:sz w:val="28"/>
          <w:szCs w:val="28"/>
          <w:lang w:val="en-US" w:eastAsia="zh-CN"/>
        </w:rPr>
        <w:t>+260m</w:t>
      </w:r>
      <w:r>
        <w:rPr>
          <w:rFonts w:hint="eastAsia" w:ascii="Times New Roman" w:hAnsi="Times New Roman" w:eastAsia="宋体" w:cs="Times New Roman"/>
          <w:color w:val="auto"/>
          <w:sz w:val="28"/>
          <w:szCs w:val="28"/>
          <w:lang w:val="en-US" w:eastAsia="zh-CN"/>
        </w:rPr>
        <w:t>为清扫平台</w:t>
      </w:r>
      <w:r>
        <w:rPr>
          <w:rFonts w:hint="eastAsia" w:cs="Times New Roman"/>
          <w:color w:val="auto"/>
          <w:sz w:val="28"/>
          <w:szCs w:val="28"/>
          <w:lang w:val="en-US" w:eastAsia="zh-CN"/>
        </w:rPr>
        <w:t>；</w:t>
      </w:r>
      <w:r>
        <w:rPr>
          <w:rFonts w:hint="eastAsia" w:ascii="Times New Roman" w:hAnsi="Times New Roman" w:eastAsia="宋体" w:cs="Times New Roman"/>
          <w:color w:val="auto"/>
          <w:sz w:val="28"/>
          <w:szCs w:val="28"/>
          <w:lang w:val="en-US" w:eastAsia="zh-CN"/>
        </w:rPr>
        <w:t>+247m平台为生产平台，平台长度为64m，宽度为32m；+234m平台为生产平台，平台长度为240m，宽度为148m；+221m平台为备采平台，平台长度为280m，宽度为246m。矿山现状各边坡稳定性较好。</w:t>
      </w:r>
    </w:p>
    <w:p w14:paraId="473D5B5D">
      <w:pPr>
        <w:rPr>
          <w:rFonts w:hint="default"/>
          <w:color w:val="auto"/>
          <w:lang w:val="en-US" w:eastAsia="zh-CN"/>
        </w:rPr>
      </w:pPr>
      <w:r>
        <w:rPr>
          <w:rFonts w:hint="default"/>
          <w:color w:val="auto"/>
          <w:lang w:val="en-US" w:eastAsia="zh-CN"/>
        </w:rPr>
        <w:t>3</w:t>
      </w:r>
      <w:r>
        <w:rPr>
          <w:rFonts w:hint="eastAsia"/>
          <w:color w:val="auto"/>
          <w:lang w:val="en-US" w:eastAsia="zh-CN"/>
        </w:rPr>
        <w:t xml:space="preserve">. </w:t>
      </w:r>
      <w:r>
        <w:rPr>
          <w:rFonts w:hint="default"/>
          <w:color w:val="auto"/>
          <w:lang w:val="en-US" w:eastAsia="zh-CN"/>
        </w:rPr>
        <w:t>露天开采工艺</w:t>
      </w:r>
    </w:p>
    <w:p w14:paraId="4287E987">
      <w:pPr>
        <w:rPr>
          <w:rFonts w:hint="default"/>
          <w:color w:val="auto"/>
          <w:lang w:val="en-US" w:eastAsia="zh-CN"/>
        </w:rPr>
      </w:pPr>
      <w:r>
        <w:rPr>
          <w:rFonts w:hint="default"/>
          <w:color w:val="auto"/>
          <w:lang w:val="en-US" w:eastAsia="zh-CN"/>
        </w:rPr>
        <w:t>露天开采主要工艺流程为</w:t>
      </w:r>
      <w:r>
        <w:rPr>
          <w:rFonts w:hint="eastAsia"/>
          <w:color w:val="auto"/>
          <w:lang w:val="en-US" w:eastAsia="zh-CN"/>
        </w:rPr>
        <w:t>：</w:t>
      </w:r>
      <w:r>
        <w:rPr>
          <w:rFonts w:hint="default"/>
          <w:color w:val="auto"/>
          <w:lang w:val="en-US" w:eastAsia="zh-CN"/>
        </w:rPr>
        <w:t>潜孔钻机穿孔→深孔爆破→大块石二次破碎→挖掘机装车→自卸汽车</w:t>
      </w:r>
      <w:r>
        <w:rPr>
          <w:rFonts w:hint="eastAsia"/>
          <w:color w:val="auto"/>
          <w:lang w:val="en-US" w:eastAsia="zh-CN"/>
        </w:rPr>
        <w:t>（</w:t>
      </w:r>
      <w:r>
        <w:rPr>
          <w:rFonts w:hint="default"/>
          <w:color w:val="auto"/>
          <w:lang w:val="en-US" w:eastAsia="zh-CN"/>
        </w:rPr>
        <w:t>额定载重量为40t</w:t>
      </w:r>
      <w:r>
        <w:rPr>
          <w:rFonts w:hint="eastAsia"/>
          <w:color w:val="auto"/>
          <w:lang w:val="en-US" w:eastAsia="zh-CN"/>
        </w:rPr>
        <w:t>）</w:t>
      </w:r>
      <w:r>
        <w:rPr>
          <w:rFonts w:hint="default"/>
          <w:color w:val="auto"/>
          <w:lang w:val="en-US" w:eastAsia="zh-CN"/>
        </w:rPr>
        <w:t>运输出矿。矿山配备了1台型号为FlexiR00735411</w:t>
      </w:r>
      <w:r>
        <w:rPr>
          <w:rFonts w:hint="eastAsia"/>
          <w:color w:val="auto"/>
          <w:lang w:val="en-US" w:eastAsia="zh-CN"/>
        </w:rPr>
        <w:t>、</w:t>
      </w:r>
      <w:r>
        <w:rPr>
          <w:rFonts w:hint="default"/>
          <w:color w:val="auto"/>
          <w:lang w:val="en-US" w:eastAsia="zh-CN"/>
        </w:rPr>
        <w:t>功率168</w:t>
      </w:r>
      <w:r>
        <w:rPr>
          <w:rFonts w:hint="eastAsia"/>
          <w:color w:val="auto"/>
          <w:lang w:val="en-US" w:eastAsia="zh-CN"/>
        </w:rPr>
        <w:t>k</w:t>
      </w:r>
      <w:r>
        <w:rPr>
          <w:rFonts w:hint="default"/>
          <w:color w:val="auto"/>
          <w:lang w:val="en-US" w:eastAsia="zh-CN"/>
        </w:rPr>
        <w:t>W的全液压履带式露天钻机，和1台型号为DF-11</w:t>
      </w:r>
      <w:r>
        <w:rPr>
          <w:rFonts w:hint="eastAsia"/>
          <w:color w:val="auto"/>
          <w:lang w:val="en-US" w:eastAsia="zh-CN"/>
        </w:rPr>
        <w:t>、</w:t>
      </w:r>
      <w:r>
        <w:rPr>
          <w:rFonts w:hint="default"/>
          <w:color w:val="auto"/>
          <w:lang w:val="en-US" w:eastAsia="zh-CN"/>
        </w:rPr>
        <w:t>功率168</w:t>
      </w:r>
      <w:r>
        <w:rPr>
          <w:rFonts w:hint="eastAsia"/>
          <w:color w:val="auto"/>
          <w:lang w:val="en-US" w:eastAsia="zh-CN"/>
        </w:rPr>
        <w:t>k</w:t>
      </w:r>
      <w:r>
        <w:rPr>
          <w:rFonts w:hint="default"/>
          <w:color w:val="auto"/>
          <w:lang w:val="en-US" w:eastAsia="zh-CN"/>
        </w:rPr>
        <w:t>W的全液压带式露天钻机。</w:t>
      </w:r>
    </w:p>
    <w:p w14:paraId="29122798">
      <w:pPr>
        <w:rPr>
          <w:rFonts w:hint="default"/>
          <w:color w:val="auto"/>
          <w:lang w:val="en-US" w:eastAsia="zh-CN"/>
        </w:rPr>
      </w:pPr>
      <w:r>
        <w:rPr>
          <w:rFonts w:hint="eastAsia"/>
          <w:color w:val="auto"/>
          <w:lang w:val="en-US" w:eastAsia="zh-CN"/>
        </w:rPr>
        <w:t>4. 爆破作业</w:t>
      </w:r>
    </w:p>
    <w:p w14:paraId="5402F72C">
      <w:pPr>
        <w:rPr>
          <w:rFonts w:hint="default"/>
          <w:color w:val="auto"/>
          <w:lang w:val="en-US" w:eastAsia="zh-CN"/>
        </w:rPr>
      </w:pPr>
      <w:r>
        <w:rPr>
          <w:rFonts w:hint="default"/>
          <w:color w:val="auto"/>
          <w:lang w:val="en-US" w:eastAsia="zh-CN"/>
        </w:rPr>
        <w:t>（1）深孔爆破</w:t>
      </w:r>
    </w:p>
    <w:p w14:paraId="2CDA2CC1">
      <w:pPr>
        <w:rPr>
          <w:rFonts w:hint="default"/>
          <w:color w:val="auto"/>
          <w:lang w:val="en-US" w:eastAsia="zh-CN"/>
        </w:rPr>
      </w:pPr>
      <w:r>
        <w:rPr>
          <w:rFonts w:hint="default"/>
          <w:color w:val="auto"/>
          <w:lang w:val="en-US" w:eastAsia="zh-CN"/>
        </w:rPr>
        <w:t>①爆破参数</w:t>
      </w:r>
    </w:p>
    <w:p w14:paraId="0D99802D">
      <w:pPr>
        <w:rPr>
          <w:rFonts w:hint="default"/>
          <w:color w:val="auto"/>
          <w:lang w:val="en-US" w:eastAsia="zh-CN"/>
        </w:rPr>
      </w:pPr>
      <w:r>
        <w:rPr>
          <w:rFonts w:hint="default"/>
          <w:color w:val="auto"/>
          <w:lang w:val="en-US" w:eastAsia="zh-CN"/>
        </w:rPr>
        <w:t>爆破参数为：台阶高度H=13m</w:t>
      </w:r>
      <w:r>
        <w:rPr>
          <w:rFonts w:hint="eastAsia"/>
          <w:color w:val="auto"/>
          <w:lang w:val="en-US" w:eastAsia="zh-CN"/>
        </w:rPr>
        <w:t>；</w:t>
      </w:r>
      <w:r>
        <w:rPr>
          <w:rFonts w:hint="default"/>
          <w:color w:val="auto"/>
          <w:lang w:val="en-US" w:eastAsia="zh-CN"/>
        </w:rPr>
        <w:t>孔径d=115mm</w:t>
      </w:r>
      <w:r>
        <w:rPr>
          <w:rFonts w:hint="eastAsia"/>
          <w:color w:val="auto"/>
          <w:lang w:val="en-US" w:eastAsia="zh-CN"/>
        </w:rPr>
        <w:t>；炸药</w:t>
      </w:r>
      <w:r>
        <w:rPr>
          <w:rFonts w:hint="default"/>
          <w:color w:val="auto"/>
          <w:lang w:val="en-US" w:eastAsia="zh-CN"/>
        </w:rPr>
        <w:t>单耗q=0.43kg/m</w:t>
      </w:r>
      <w:r>
        <w:rPr>
          <w:rFonts w:hint="default"/>
          <w:color w:val="auto"/>
          <w:vertAlign w:val="superscript"/>
          <w:lang w:val="en-US" w:eastAsia="zh-CN"/>
        </w:rPr>
        <w:t>3</w:t>
      </w:r>
      <w:r>
        <w:rPr>
          <w:rFonts w:hint="default"/>
          <w:color w:val="auto"/>
          <w:lang w:val="en-US" w:eastAsia="zh-CN"/>
        </w:rPr>
        <w:t>；台阶边坡角6</w:t>
      </w:r>
      <w:r>
        <w:rPr>
          <w:rFonts w:hint="eastAsia" w:ascii="宋体" w:hAnsi="宋体" w:eastAsia="宋体" w:cs="宋体"/>
          <w:color w:val="auto"/>
          <w:lang w:val="en-US" w:eastAsia="zh-CN"/>
        </w:rPr>
        <w:t>5°</w:t>
      </w:r>
      <w:r>
        <w:rPr>
          <w:rFonts w:hint="default"/>
          <w:color w:val="auto"/>
          <w:lang w:val="en-US" w:eastAsia="zh-CN"/>
        </w:rPr>
        <w:t>，倾斜孔，钻孔邻近密集系数m=1.2；</w:t>
      </w:r>
    </w:p>
    <w:p w14:paraId="5177FC11">
      <w:pPr>
        <w:rPr>
          <w:rFonts w:hint="default"/>
          <w:color w:val="auto"/>
          <w:lang w:val="en-US" w:eastAsia="zh-CN"/>
        </w:rPr>
      </w:pPr>
      <w:r>
        <w:rPr>
          <w:rFonts w:hint="default"/>
          <w:color w:val="auto"/>
          <w:lang w:val="en-US" w:eastAsia="zh-CN"/>
        </w:rPr>
        <w:t>②预裂爆破参数</w:t>
      </w:r>
    </w:p>
    <w:p w14:paraId="51CB368C">
      <w:pPr>
        <w:rPr>
          <w:rFonts w:hint="eastAsia"/>
          <w:color w:val="auto"/>
          <w:lang w:val="en-US" w:eastAsia="zh-CN"/>
        </w:rPr>
      </w:pPr>
      <w:r>
        <w:rPr>
          <w:rFonts w:hint="default"/>
          <w:color w:val="auto"/>
          <w:lang w:val="en-US" w:eastAsia="zh-CN"/>
        </w:rPr>
        <w:t>开采靠近最终边坡时，采用预裂爆破，</w:t>
      </w:r>
      <w:r>
        <w:rPr>
          <w:rFonts w:hint="eastAsia"/>
          <w:color w:val="auto"/>
          <w:lang w:val="en-US" w:eastAsia="zh-CN"/>
        </w:rPr>
        <w:t>预裂爆破参数见</w:t>
      </w:r>
      <w:r>
        <w:rPr>
          <w:rFonts w:hint="default"/>
          <w:color w:val="auto"/>
          <w:lang w:val="en-US" w:eastAsia="zh-CN"/>
        </w:rPr>
        <w:t>表</w:t>
      </w:r>
      <w:r>
        <w:rPr>
          <w:rFonts w:hint="eastAsia"/>
          <w:color w:val="auto"/>
          <w:lang w:val="en-US" w:eastAsia="zh-CN"/>
        </w:rPr>
        <w:t>2.4-1。</w:t>
      </w:r>
    </w:p>
    <w:p w14:paraId="37CF8DB4">
      <w:pPr>
        <w:ind w:left="0" w:leftChars="0" w:firstLine="0" w:firstLineChars="0"/>
        <w:jc w:val="center"/>
        <w:rPr>
          <w:rFonts w:hint="eastAsia"/>
          <w:color w:val="auto"/>
          <w:lang w:val="en-US" w:eastAsia="zh-CN"/>
        </w:rPr>
      </w:pPr>
      <w:r>
        <w:rPr>
          <w:rFonts w:hint="default"/>
          <w:color w:val="auto"/>
          <w:lang w:val="en-US" w:eastAsia="zh-CN"/>
        </w:rPr>
        <w:t>表</w:t>
      </w:r>
      <w:r>
        <w:rPr>
          <w:rFonts w:hint="eastAsia"/>
          <w:color w:val="auto"/>
          <w:lang w:val="en-US" w:eastAsia="zh-CN"/>
        </w:rPr>
        <w:t>2.4-1 预裂爆破参数表</w:t>
      </w:r>
    </w:p>
    <w:tbl>
      <w:tblPr>
        <w:tblStyle w:val="18"/>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20"/>
        <w:gridCol w:w="1546"/>
        <w:gridCol w:w="1401"/>
        <w:gridCol w:w="3419"/>
      </w:tblGrid>
      <w:tr w14:paraId="132FA2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3" w:hRule="exact"/>
          <w:jc w:val="center"/>
        </w:trPr>
        <w:tc>
          <w:tcPr>
            <w:tcW w:w="1572" w:type="pct"/>
            <w:tcBorders>
              <w:top w:val="single" w:color="auto" w:sz="4" w:space="0"/>
              <w:left w:val="single" w:color="auto" w:sz="4" w:space="0"/>
              <w:bottom w:val="single" w:color="auto" w:sz="4" w:space="0"/>
              <w:right w:val="single" w:color="auto" w:sz="4" w:space="0"/>
            </w:tcBorders>
            <w:noWrap w:val="0"/>
            <w:vAlign w:val="center"/>
          </w:tcPr>
          <w:p w14:paraId="1C5148D5">
            <w:pPr>
              <w:keepNext w:val="0"/>
              <w:keepLines w:val="0"/>
              <w:pageBreakBefore w:val="0"/>
              <w:widowControl w:val="0"/>
              <w:tabs>
                <w:tab w:val="left" w:pos="546"/>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名称</w:t>
            </w:r>
          </w:p>
        </w:tc>
        <w:tc>
          <w:tcPr>
            <w:tcW w:w="832" w:type="pct"/>
            <w:tcBorders>
              <w:top w:val="single" w:color="auto" w:sz="4" w:space="0"/>
              <w:left w:val="single" w:color="auto" w:sz="4" w:space="0"/>
              <w:bottom w:val="single" w:color="auto" w:sz="4" w:space="0"/>
              <w:right w:val="single" w:color="auto" w:sz="4" w:space="0"/>
            </w:tcBorders>
            <w:noWrap w:val="0"/>
            <w:vAlign w:val="center"/>
          </w:tcPr>
          <w:p w14:paraId="441FEC0F">
            <w:pPr>
              <w:keepNext w:val="0"/>
              <w:keepLines w:val="0"/>
              <w:pageBreakBefore w:val="0"/>
              <w:widowControl w:val="0"/>
              <w:tabs>
                <w:tab w:val="left" w:pos="546"/>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符 号</w:t>
            </w:r>
          </w:p>
        </w:tc>
        <w:tc>
          <w:tcPr>
            <w:tcW w:w="754" w:type="pct"/>
            <w:tcBorders>
              <w:top w:val="single" w:color="auto" w:sz="4" w:space="0"/>
              <w:left w:val="single" w:color="auto" w:sz="4" w:space="0"/>
              <w:bottom w:val="single" w:color="auto" w:sz="4" w:space="0"/>
              <w:right w:val="single" w:color="auto" w:sz="4" w:space="0"/>
            </w:tcBorders>
            <w:noWrap w:val="0"/>
            <w:vAlign w:val="center"/>
          </w:tcPr>
          <w:p w14:paraId="0245E13F">
            <w:pPr>
              <w:keepNext w:val="0"/>
              <w:keepLines w:val="0"/>
              <w:pageBreakBefore w:val="0"/>
              <w:widowControl w:val="0"/>
              <w:tabs>
                <w:tab w:val="left" w:pos="546"/>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单位</w:t>
            </w:r>
          </w:p>
        </w:tc>
        <w:tc>
          <w:tcPr>
            <w:tcW w:w="1840" w:type="pct"/>
            <w:tcBorders>
              <w:top w:val="single" w:color="auto" w:sz="4" w:space="0"/>
              <w:left w:val="single" w:color="auto" w:sz="4" w:space="0"/>
              <w:bottom w:val="single" w:color="auto" w:sz="4" w:space="0"/>
              <w:right w:val="single" w:color="auto" w:sz="4" w:space="0"/>
            </w:tcBorders>
            <w:noWrap w:val="0"/>
            <w:vAlign w:val="center"/>
          </w:tcPr>
          <w:p w14:paraId="1EA65741">
            <w:pPr>
              <w:keepNext w:val="0"/>
              <w:keepLines w:val="0"/>
              <w:pageBreakBefore w:val="0"/>
              <w:widowControl w:val="0"/>
              <w:tabs>
                <w:tab w:val="left" w:pos="546"/>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取值范围</w:t>
            </w:r>
          </w:p>
        </w:tc>
      </w:tr>
      <w:tr w14:paraId="2C8AEC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72" w:type="pct"/>
            <w:tcBorders>
              <w:top w:val="single" w:color="auto" w:sz="4" w:space="0"/>
              <w:left w:val="single" w:color="auto" w:sz="4" w:space="0"/>
              <w:bottom w:val="single" w:color="auto" w:sz="4" w:space="0"/>
              <w:right w:val="single" w:color="auto" w:sz="4" w:space="0"/>
            </w:tcBorders>
            <w:noWrap w:val="0"/>
            <w:vAlign w:val="center"/>
          </w:tcPr>
          <w:p w14:paraId="3ECAD78E">
            <w:pPr>
              <w:keepNext w:val="0"/>
              <w:keepLines w:val="0"/>
              <w:pageBreakBefore w:val="0"/>
              <w:widowControl w:val="0"/>
              <w:tabs>
                <w:tab w:val="left" w:pos="546"/>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孔深</w:t>
            </w:r>
          </w:p>
        </w:tc>
        <w:tc>
          <w:tcPr>
            <w:tcW w:w="832" w:type="pct"/>
            <w:tcBorders>
              <w:top w:val="single" w:color="auto" w:sz="4" w:space="0"/>
              <w:left w:val="single" w:color="auto" w:sz="4" w:space="0"/>
              <w:bottom w:val="single" w:color="auto" w:sz="4" w:space="0"/>
              <w:right w:val="single" w:color="auto" w:sz="4" w:space="0"/>
            </w:tcBorders>
            <w:noWrap w:val="0"/>
            <w:vAlign w:val="center"/>
          </w:tcPr>
          <w:p w14:paraId="7302CD4C">
            <w:pPr>
              <w:keepNext w:val="0"/>
              <w:keepLines w:val="0"/>
              <w:pageBreakBefore w:val="0"/>
              <w:widowControl w:val="0"/>
              <w:tabs>
                <w:tab w:val="left" w:pos="546"/>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L</w:t>
            </w:r>
          </w:p>
        </w:tc>
        <w:tc>
          <w:tcPr>
            <w:tcW w:w="754" w:type="pct"/>
            <w:tcBorders>
              <w:top w:val="single" w:color="auto" w:sz="4" w:space="0"/>
              <w:left w:val="single" w:color="auto" w:sz="4" w:space="0"/>
              <w:bottom w:val="single" w:color="auto" w:sz="4" w:space="0"/>
              <w:right w:val="single" w:color="auto" w:sz="4" w:space="0"/>
            </w:tcBorders>
            <w:noWrap w:val="0"/>
            <w:vAlign w:val="center"/>
          </w:tcPr>
          <w:p w14:paraId="1AFB431B">
            <w:pPr>
              <w:keepNext w:val="0"/>
              <w:keepLines w:val="0"/>
              <w:pageBreakBefore w:val="0"/>
              <w:widowControl w:val="0"/>
              <w:tabs>
                <w:tab w:val="left" w:pos="546"/>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m</w:t>
            </w:r>
          </w:p>
        </w:tc>
        <w:tc>
          <w:tcPr>
            <w:tcW w:w="1840" w:type="pct"/>
            <w:tcBorders>
              <w:top w:val="single" w:color="auto" w:sz="4" w:space="0"/>
              <w:left w:val="single" w:color="auto" w:sz="4" w:space="0"/>
              <w:bottom w:val="single" w:color="auto" w:sz="4" w:space="0"/>
              <w:right w:val="single" w:color="auto" w:sz="4" w:space="0"/>
            </w:tcBorders>
            <w:noWrap w:val="0"/>
            <w:vAlign w:val="center"/>
          </w:tcPr>
          <w:p w14:paraId="55EA31EB">
            <w:pPr>
              <w:keepNext w:val="0"/>
              <w:keepLines w:val="0"/>
              <w:pageBreakBefore w:val="0"/>
              <w:widowControl w:val="0"/>
              <w:tabs>
                <w:tab w:val="left" w:pos="546"/>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同台阶坡面长度</w:t>
            </w:r>
          </w:p>
        </w:tc>
      </w:tr>
      <w:tr w14:paraId="50B548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72" w:type="pct"/>
            <w:tcBorders>
              <w:top w:val="single" w:color="auto" w:sz="4" w:space="0"/>
              <w:left w:val="single" w:color="auto" w:sz="4" w:space="0"/>
              <w:bottom w:val="single" w:color="auto" w:sz="4" w:space="0"/>
              <w:right w:val="single" w:color="auto" w:sz="4" w:space="0"/>
            </w:tcBorders>
            <w:noWrap w:val="0"/>
            <w:vAlign w:val="center"/>
          </w:tcPr>
          <w:p w14:paraId="4DA2C35E">
            <w:pPr>
              <w:keepNext w:val="0"/>
              <w:keepLines w:val="0"/>
              <w:pageBreakBefore w:val="0"/>
              <w:widowControl w:val="0"/>
              <w:tabs>
                <w:tab w:val="left" w:pos="546"/>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孔径</w:t>
            </w:r>
          </w:p>
        </w:tc>
        <w:tc>
          <w:tcPr>
            <w:tcW w:w="832" w:type="pct"/>
            <w:tcBorders>
              <w:top w:val="single" w:color="auto" w:sz="4" w:space="0"/>
              <w:left w:val="single" w:color="auto" w:sz="4" w:space="0"/>
              <w:bottom w:val="single" w:color="auto" w:sz="4" w:space="0"/>
              <w:right w:val="single" w:color="auto" w:sz="4" w:space="0"/>
            </w:tcBorders>
            <w:noWrap w:val="0"/>
            <w:vAlign w:val="center"/>
          </w:tcPr>
          <w:p w14:paraId="01DFEA00">
            <w:pPr>
              <w:keepNext w:val="0"/>
              <w:keepLines w:val="0"/>
              <w:pageBreakBefore w:val="0"/>
              <w:widowControl w:val="0"/>
              <w:tabs>
                <w:tab w:val="left" w:pos="546"/>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D</w:t>
            </w:r>
          </w:p>
        </w:tc>
        <w:tc>
          <w:tcPr>
            <w:tcW w:w="754" w:type="pct"/>
            <w:tcBorders>
              <w:top w:val="single" w:color="auto" w:sz="4" w:space="0"/>
              <w:left w:val="single" w:color="auto" w:sz="4" w:space="0"/>
              <w:bottom w:val="single" w:color="auto" w:sz="4" w:space="0"/>
              <w:right w:val="single" w:color="auto" w:sz="4" w:space="0"/>
            </w:tcBorders>
            <w:noWrap w:val="0"/>
            <w:vAlign w:val="center"/>
          </w:tcPr>
          <w:p w14:paraId="55327DF4">
            <w:pPr>
              <w:keepNext w:val="0"/>
              <w:keepLines w:val="0"/>
              <w:pageBreakBefore w:val="0"/>
              <w:widowControl w:val="0"/>
              <w:tabs>
                <w:tab w:val="left" w:pos="546"/>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mm</w:t>
            </w:r>
          </w:p>
        </w:tc>
        <w:tc>
          <w:tcPr>
            <w:tcW w:w="1840" w:type="pct"/>
            <w:tcBorders>
              <w:top w:val="single" w:color="auto" w:sz="4" w:space="0"/>
              <w:left w:val="single" w:color="auto" w:sz="4" w:space="0"/>
              <w:bottom w:val="single" w:color="auto" w:sz="4" w:space="0"/>
              <w:right w:val="single" w:color="auto" w:sz="4" w:space="0"/>
            </w:tcBorders>
            <w:noWrap w:val="0"/>
            <w:vAlign w:val="center"/>
          </w:tcPr>
          <w:p w14:paraId="6FF22E21">
            <w:pPr>
              <w:keepNext w:val="0"/>
              <w:keepLines w:val="0"/>
              <w:pageBreakBefore w:val="0"/>
              <w:widowControl w:val="0"/>
              <w:tabs>
                <w:tab w:val="left" w:pos="546"/>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115</w:t>
            </w:r>
          </w:p>
        </w:tc>
      </w:tr>
      <w:tr w14:paraId="65307A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72" w:type="pct"/>
            <w:tcBorders>
              <w:top w:val="single" w:color="auto" w:sz="4" w:space="0"/>
              <w:left w:val="single" w:color="auto" w:sz="4" w:space="0"/>
              <w:bottom w:val="single" w:color="auto" w:sz="4" w:space="0"/>
              <w:right w:val="single" w:color="auto" w:sz="4" w:space="0"/>
            </w:tcBorders>
            <w:noWrap w:val="0"/>
            <w:vAlign w:val="center"/>
          </w:tcPr>
          <w:p w14:paraId="5E7F33C5">
            <w:pPr>
              <w:keepNext w:val="0"/>
              <w:keepLines w:val="0"/>
              <w:pageBreakBefore w:val="0"/>
              <w:widowControl w:val="0"/>
              <w:tabs>
                <w:tab w:val="left" w:pos="546"/>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孔距</w:t>
            </w:r>
          </w:p>
        </w:tc>
        <w:tc>
          <w:tcPr>
            <w:tcW w:w="832" w:type="pct"/>
            <w:tcBorders>
              <w:top w:val="single" w:color="auto" w:sz="4" w:space="0"/>
              <w:left w:val="single" w:color="auto" w:sz="4" w:space="0"/>
              <w:bottom w:val="single" w:color="auto" w:sz="4" w:space="0"/>
              <w:right w:val="single" w:color="auto" w:sz="4" w:space="0"/>
            </w:tcBorders>
            <w:noWrap w:val="0"/>
            <w:vAlign w:val="center"/>
          </w:tcPr>
          <w:p w14:paraId="1D5A047A">
            <w:pPr>
              <w:keepNext w:val="0"/>
              <w:keepLines w:val="0"/>
              <w:pageBreakBefore w:val="0"/>
              <w:widowControl w:val="0"/>
              <w:tabs>
                <w:tab w:val="left" w:pos="546"/>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a</w:t>
            </w:r>
          </w:p>
        </w:tc>
        <w:tc>
          <w:tcPr>
            <w:tcW w:w="754" w:type="pct"/>
            <w:tcBorders>
              <w:top w:val="single" w:color="auto" w:sz="4" w:space="0"/>
              <w:left w:val="single" w:color="auto" w:sz="4" w:space="0"/>
              <w:bottom w:val="single" w:color="auto" w:sz="4" w:space="0"/>
              <w:right w:val="single" w:color="auto" w:sz="4" w:space="0"/>
            </w:tcBorders>
            <w:noWrap w:val="0"/>
            <w:vAlign w:val="center"/>
          </w:tcPr>
          <w:p w14:paraId="0F72DDD9">
            <w:pPr>
              <w:keepNext w:val="0"/>
              <w:keepLines w:val="0"/>
              <w:pageBreakBefore w:val="0"/>
              <w:widowControl w:val="0"/>
              <w:tabs>
                <w:tab w:val="left" w:pos="546"/>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m</w:t>
            </w:r>
          </w:p>
        </w:tc>
        <w:tc>
          <w:tcPr>
            <w:tcW w:w="1840" w:type="pct"/>
            <w:tcBorders>
              <w:top w:val="single" w:color="auto" w:sz="4" w:space="0"/>
              <w:left w:val="single" w:color="auto" w:sz="4" w:space="0"/>
              <w:bottom w:val="single" w:color="auto" w:sz="4" w:space="0"/>
              <w:right w:val="single" w:color="auto" w:sz="4" w:space="0"/>
            </w:tcBorders>
            <w:noWrap w:val="0"/>
            <w:vAlign w:val="center"/>
          </w:tcPr>
          <w:p w14:paraId="53AA7DCA">
            <w:pPr>
              <w:keepNext w:val="0"/>
              <w:keepLines w:val="0"/>
              <w:pageBreakBefore w:val="0"/>
              <w:widowControl w:val="0"/>
              <w:tabs>
                <w:tab w:val="left" w:pos="546"/>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1.5</w:t>
            </w:r>
          </w:p>
        </w:tc>
      </w:tr>
      <w:tr w14:paraId="51FC1E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72" w:type="pct"/>
            <w:tcBorders>
              <w:top w:val="single" w:color="auto" w:sz="4" w:space="0"/>
              <w:left w:val="single" w:color="auto" w:sz="4" w:space="0"/>
              <w:bottom w:val="single" w:color="auto" w:sz="4" w:space="0"/>
              <w:right w:val="single" w:color="auto" w:sz="4" w:space="0"/>
            </w:tcBorders>
            <w:noWrap w:val="0"/>
            <w:vAlign w:val="center"/>
          </w:tcPr>
          <w:p w14:paraId="5102DBBC">
            <w:pPr>
              <w:keepNext w:val="0"/>
              <w:keepLines w:val="0"/>
              <w:pageBreakBefore w:val="0"/>
              <w:widowControl w:val="0"/>
              <w:tabs>
                <w:tab w:val="left" w:pos="546"/>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药卷直径</w:t>
            </w:r>
          </w:p>
        </w:tc>
        <w:tc>
          <w:tcPr>
            <w:tcW w:w="832" w:type="pct"/>
            <w:tcBorders>
              <w:top w:val="single" w:color="auto" w:sz="4" w:space="0"/>
              <w:left w:val="single" w:color="auto" w:sz="4" w:space="0"/>
              <w:bottom w:val="single" w:color="auto" w:sz="4" w:space="0"/>
              <w:right w:val="single" w:color="auto" w:sz="4" w:space="0"/>
            </w:tcBorders>
            <w:noWrap w:val="0"/>
            <w:vAlign w:val="center"/>
          </w:tcPr>
          <w:p w14:paraId="0F6AD928">
            <w:pPr>
              <w:keepNext w:val="0"/>
              <w:keepLines w:val="0"/>
              <w:pageBreakBefore w:val="0"/>
              <w:widowControl w:val="0"/>
              <w:tabs>
                <w:tab w:val="left" w:pos="546"/>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D</w:t>
            </w:r>
          </w:p>
        </w:tc>
        <w:tc>
          <w:tcPr>
            <w:tcW w:w="754" w:type="pct"/>
            <w:tcBorders>
              <w:top w:val="single" w:color="auto" w:sz="4" w:space="0"/>
              <w:left w:val="single" w:color="auto" w:sz="4" w:space="0"/>
              <w:bottom w:val="single" w:color="auto" w:sz="4" w:space="0"/>
              <w:right w:val="single" w:color="auto" w:sz="4" w:space="0"/>
            </w:tcBorders>
            <w:noWrap w:val="0"/>
            <w:vAlign w:val="center"/>
          </w:tcPr>
          <w:p w14:paraId="265785B7">
            <w:pPr>
              <w:keepNext w:val="0"/>
              <w:keepLines w:val="0"/>
              <w:pageBreakBefore w:val="0"/>
              <w:widowControl w:val="0"/>
              <w:tabs>
                <w:tab w:val="left" w:pos="546"/>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mm</w:t>
            </w:r>
          </w:p>
        </w:tc>
        <w:tc>
          <w:tcPr>
            <w:tcW w:w="1840" w:type="pct"/>
            <w:tcBorders>
              <w:top w:val="single" w:color="auto" w:sz="4" w:space="0"/>
              <w:left w:val="single" w:color="auto" w:sz="4" w:space="0"/>
              <w:bottom w:val="single" w:color="auto" w:sz="4" w:space="0"/>
              <w:right w:val="single" w:color="auto" w:sz="4" w:space="0"/>
            </w:tcBorders>
            <w:noWrap w:val="0"/>
            <w:vAlign w:val="center"/>
          </w:tcPr>
          <w:p w14:paraId="5052B5A4">
            <w:pPr>
              <w:keepNext w:val="0"/>
              <w:keepLines w:val="0"/>
              <w:pageBreakBefore w:val="0"/>
              <w:widowControl w:val="0"/>
              <w:tabs>
                <w:tab w:val="left" w:pos="546"/>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32</w:t>
            </w:r>
          </w:p>
        </w:tc>
      </w:tr>
      <w:tr w14:paraId="2E159D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72" w:type="pct"/>
            <w:tcBorders>
              <w:top w:val="single" w:color="auto" w:sz="4" w:space="0"/>
              <w:left w:val="single" w:color="auto" w:sz="4" w:space="0"/>
              <w:bottom w:val="single" w:color="auto" w:sz="4" w:space="0"/>
              <w:right w:val="single" w:color="auto" w:sz="4" w:space="0"/>
            </w:tcBorders>
            <w:noWrap w:val="0"/>
            <w:vAlign w:val="center"/>
          </w:tcPr>
          <w:p w14:paraId="20ED513A">
            <w:pPr>
              <w:keepNext w:val="0"/>
              <w:keepLines w:val="0"/>
              <w:pageBreakBefore w:val="0"/>
              <w:widowControl w:val="0"/>
              <w:tabs>
                <w:tab w:val="left" w:pos="546"/>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不偶合系数</w:t>
            </w:r>
          </w:p>
        </w:tc>
        <w:tc>
          <w:tcPr>
            <w:tcW w:w="832" w:type="pct"/>
            <w:tcBorders>
              <w:top w:val="single" w:color="auto" w:sz="4" w:space="0"/>
              <w:left w:val="single" w:color="auto" w:sz="4" w:space="0"/>
              <w:bottom w:val="single" w:color="auto" w:sz="4" w:space="0"/>
              <w:right w:val="single" w:color="auto" w:sz="4" w:space="0"/>
            </w:tcBorders>
            <w:noWrap w:val="0"/>
            <w:vAlign w:val="center"/>
          </w:tcPr>
          <w:p w14:paraId="4CDADC45">
            <w:pPr>
              <w:keepNext w:val="0"/>
              <w:keepLines w:val="0"/>
              <w:pageBreakBefore w:val="0"/>
              <w:widowControl w:val="0"/>
              <w:tabs>
                <w:tab w:val="left" w:pos="546"/>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rPr>
            </w:pPr>
          </w:p>
        </w:tc>
        <w:tc>
          <w:tcPr>
            <w:tcW w:w="754" w:type="pct"/>
            <w:tcBorders>
              <w:top w:val="single" w:color="auto" w:sz="4" w:space="0"/>
              <w:left w:val="single" w:color="auto" w:sz="4" w:space="0"/>
              <w:bottom w:val="single" w:color="auto" w:sz="4" w:space="0"/>
              <w:right w:val="single" w:color="auto" w:sz="4" w:space="0"/>
            </w:tcBorders>
            <w:noWrap w:val="0"/>
            <w:vAlign w:val="center"/>
          </w:tcPr>
          <w:p w14:paraId="01AAB32C">
            <w:pPr>
              <w:keepNext w:val="0"/>
              <w:keepLines w:val="0"/>
              <w:pageBreakBefore w:val="0"/>
              <w:widowControl w:val="0"/>
              <w:tabs>
                <w:tab w:val="left" w:pos="546"/>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mm</w:t>
            </w:r>
          </w:p>
        </w:tc>
        <w:tc>
          <w:tcPr>
            <w:tcW w:w="1840" w:type="pct"/>
            <w:tcBorders>
              <w:top w:val="single" w:color="auto" w:sz="4" w:space="0"/>
              <w:left w:val="single" w:color="auto" w:sz="4" w:space="0"/>
              <w:bottom w:val="single" w:color="auto" w:sz="4" w:space="0"/>
              <w:right w:val="single" w:color="auto" w:sz="4" w:space="0"/>
            </w:tcBorders>
            <w:noWrap w:val="0"/>
            <w:vAlign w:val="center"/>
          </w:tcPr>
          <w:p w14:paraId="2E756E77">
            <w:pPr>
              <w:keepNext w:val="0"/>
              <w:keepLines w:val="0"/>
              <w:pageBreakBefore w:val="0"/>
              <w:widowControl w:val="0"/>
              <w:tabs>
                <w:tab w:val="left" w:pos="546"/>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r>
              <w:rPr>
                <w:rFonts w:hint="default" w:ascii="Times New Roman" w:hAnsi="Times New Roman" w:eastAsia="宋体" w:cs="Times New Roman"/>
                <w:color w:val="auto"/>
                <w:sz w:val="21"/>
                <w:szCs w:val="21"/>
                <w:lang w:val="en-US" w:eastAsia="zh-CN"/>
              </w:rPr>
              <w:t>4.7</w:t>
            </w:r>
          </w:p>
        </w:tc>
      </w:tr>
      <w:tr w14:paraId="35542C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72" w:type="pct"/>
            <w:tcBorders>
              <w:top w:val="single" w:color="auto" w:sz="4" w:space="0"/>
              <w:left w:val="single" w:color="auto" w:sz="4" w:space="0"/>
              <w:bottom w:val="single" w:color="auto" w:sz="4" w:space="0"/>
              <w:right w:val="single" w:color="auto" w:sz="4" w:space="0"/>
            </w:tcBorders>
            <w:noWrap w:val="0"/>
            <w:vAlign w:val="center"/>
          </w:tcPr>
          <w:p w14:paraId="265B92A1">
            <w:pPr>
              <w:keepNext w:val="0"/>
              <w:keepLines w:val="0"/>
              <w:pageBreakBefore w:val="0"/>
              <w:widowControl w:val="0"/>
              <w:tabs>
                <w:tab w:val="left" w:pos="546"/>
              </w:tabs>
              <w:kinsoku/>
              <w:wordWrap/>
              <w:overflowPunct/>
              <w:topLinePunct w:val="0"/>
              <w:autoSpaceDE/>
              <w:autoSpaceDN/>
              <w:bidi w:val="0"/>
              <w:adjustRightInd/>
              <w:snapToGrid/>
              <w:spacing w:line="240" w:lineRule="auto"/>
              <w:ind w:left="0" w:leftChars="0" w:right="0" w:rightChars="0" w:firstLine="210" w:firstLineChars="10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线</w:t>
            </w:r>
            <w:r>
              <w:rPr>
                <w:rFonts w:hint="default" w:ascii="Times New Roman" w:hAnsi="Times New Roman" w:eastAsia="宋体" w:cs="Times New Roman"/>
                <w:color w:val="auto"/>
                <w:sz w:val="21"/>
                <w:szCs w:val="21"/>
              </w:rPr>
              <w:t>装药密度</w:t>
            </w:r>
          </w:p>
        </w:tc>
        <w:tc>
          <w:tcPr>
            <w:tcW w:w="832" w:type="pct"/>
            <w:tcBorders>
              <w:top w:val="single" w:color="auto" w:sz="4" w:space="0"/>
              <w:left w:val="single" w:color="auto" w:sz="4" w:space="0"/>
              <w:bottom w:val="single" w:color="auto" w:sz="4" w:space="0"/>
              <w:right w:val="single" w:color="auto" w:sz="4" w:space="0"/>
            </w:tcBorders>
            <w:noWrap w:val="0"/>
            <w:vAlign w:val="center"/>
          </w:tcPr>
          <w:p w14:paraId="47303F58">
            <w:pPr>
              <w:keepNext w:val="0"/>
              <w:keepLines w:val="0"/>
              <w:pageBreakBefore w:val="0"/>
              <w:widowControl w:val="0"/>
              <w:tabs>
                <w:tab w:val="left" w:pos="546"/>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rPr>
            </w:pPr>
          </w:p>
        </w:tc>
        <w:tc>
          <w:tcPr>
            <w:tcW w:w="754" w:type="pct"/>
            <w:tcBorders>
              <w:top w:val="single" w:color="auto" w:sz="4" w:space="0"/>
              <w:left w:val="single" w:color="auto" w:sz="4" w:space="0"/>
              <w:bottom w:val="single" w:color="auto" w:sz="4" w:space="0"/>
              <w:right w:val="single" w:color="auto" w:sz="4" w:space="0"/>
            </w:tcBorders>
            <w:noWrap w:val="0"/>
            <w:vAlign w:val="center"/>
          </w:tcPr>
          <w:p w14:paraId="7E9F4177">
            <w:pPr>
              <w:keepNext w:val="0"/>
              <w:keepLines w:val="0"/>
              <w:pageBreakBefore w:val="0"/>
              <w:widowControl w:val="0"/>
              <w:tabs>
                <w:tab w:val="left" w:pos="546"/>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k</w:t>
            </w:r>
            <w:r>
              <w:rPr>
                <w:rFonts w:hint="default" w:ascii="Times New Roman" w:hAnsi="Times New Roman" w:eastAsia="宋体" w:cs="Times New Roman"/>
                <w:color w:val="auto"/>
                <w:sz w:val="21"/>
                <w:szCs w:val="21"/>
              </w:rPr>
              <w:t>g/m</w:t>
            </w:r>
          </w:p>
        </w:tc>
        <w:tc>
          <w:tcPr>
            <w:tcW w:w="1840" w:type="pct"/>
            <w:tcBorders>
              <w:top w:val="single" w:color="auto" w:sz="4" w:space="0"/>
              <w:left w:val="single" w:color="auto" w:sz="4" w:space="0"/>
              <w:bottom w:val="single" w:color="auto" w:sz="4" w:space="0"/>
              <w:right w:val="single" w:color="auto" w:sz="4" w:space="0"/>
            </w:tcBorders>
            <w:noWrap w:val="0"/>
            <w:vAlign w:val="center"/>
          </w:tcPr>
          <w:p w14:paraId="4AB0E562">
            <w:pPr>
              <w:keepNext w:val="0"/>
              <w:keepLines w:val="0"/>
              <w:pageBreakBefore w:val="0"/>
              <w:widowControl w:val="0"/>
              <w:tabs>
                <w:tab w:val="left" w:pos="546"/>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1.048</w:t>
            </w:r>
          </w:p>
        </w:tc>
      </w:tr>
      <w:tr w14:paraId="6CAF2A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jc w:val="center"/>
        </w:trPr>
        <w:tc>
          <w:tcPr>
            <w:tcW w:w="1572" w:type="pct"/>
            <w:tcBorders>
              <w:top w:val="single" w:color="auto" w:sz="4" w:space="0"/>
              <w:left w:val="single" w:color="auto" w:sz="4" w:space="0"/>
              <w:bottom w:val="single" w:color="auto" w:sz="4" w:space="0"/>
              <w:right w:val="single" w:color="auto" w:sz="4" w:space="0"/>
            </w:tcBorders>
            <w:noWrap w:val="0"/>
            <w:vAlign w:val="center"/>
          </w:tcPr>
          <w:p w14:paraId="77D93857">
            <w:pPr>
              <w:keepNext w:val="0"/>
              <w:keepLines w:val="0"/>
              <w:pageBreakBefore w:val="0"/>
              <w:widowControl w:val="0"/>
              <w:tabs>
                <w:tab w:val="left" w:pos="546"/>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底</w:t>
            </w:r>
            <w:r>
              <w:rPr>
                <w:rFonts w:hint="default" w:ascii="Times New Roman" w:hAnsi="Times New Roman" w:eastAsia="宋体" w:cs="Times New Roman"/>
                <w:color w:val="auto"/>
                <w:sz w:val="21"/>
                <w:szCs w:val="21"/>
              </w:rPr>
              <w:t>部装药密度</w:t>
            </w:r>
          </w:p>
        </w:tc>
        <w:tc>
          <w:tcPr>
            <w:tcW w:w="832" w:type="pct"/>
            <w:tcBorders>
              <w:top w:val="single" w:color="auto" w:sz="4" w:space="0"/>
              <w:left w:val="single" w:color="auto" w:sz="4" w:space="0"/>
              <w:bottom w:val="single" w:color="auto" w:sz="4" w:space="0"/>
              <w:right w:val="single" w:color="auto" w:sz="4" w:space="0"/>
            </w:tcBorders>
            <w:noWrap w:val="0"/>
            <w:vAlign w:val="center"/>
          </w:tcPr>
          <w:p w14:paraId="486F4808">
            <w:pPr>
              <w:keepNext w:val="0"/>
              <w:keepLines w:val="0"/>
              <w:pageBreakBefore w:val="0"/>
              <w:widowControl w:val="0"/>
              <w:tabs>
                <w:tab w:val="left" w:pos="546"/>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rPr>
            </w:pPr>
          </w:p>
        </w:tc>
        <w:tc>
          <w:tcPr>
            <w:tcW w:w="754" w:type="pct"/>
            <w:tcBorders>
              <w:top w:val="single" w:color="auto" w:sz="4" w:space="0"/>
              <w:left w:val="single" w:color="auto" w:sz="4" w:space="0"/>
              <w:bottom w:val="single" w:color="auto" w:sz="4" w:space="0"/>
              <w:right w:val="single" w:color="auto" w:sz="4" w:space="0"/>
            </w:tcBorders>
            <w:noWrap w:val="0"/>
            <w:vAlign w:val="center"/>
          </w:tcPr>
          <w:p w14:paraId="6748DA81">
            <w:pPr>
              <w:keepNext w:val="0"/>
              <w:keepLines w:val="0"/>
              <w:pageBreakBefore w:val="0"/>
              <w:widowControl w:val="0"/>
              <w:tabs>
                <w:tab w:val="left" w:pos="546"/>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k</w:t>
            </w:r>
            <w:r>
              <w:rPr>
                <w:rFonts w:hint="default" w:ascii="Times New Roman" w:hAnsi="Times New Roman" w:eastAsia="宋体" w:cs="Times New Roman"/>
                <w:color w:val="auto"/>
                <w:sz w:val="21"/>
                <w:szCs w:val="21"/>
              </w:rPr>
              <w:t>g/m</w:t>
            </w:r>
          </w:p>
        </w:tc>
        <w:tc>
          <w:tcPr>
            <w:tcW w:w="1840" w:type="pct"/>
            <w:tcBorders>
              <w:top w:val="single" w:color="auto" w:sz="4" w:space="0"/>
              <w:left w:val="single" w:color="auto" w:sz="4" w:space="0"/>
              <w:bottom w:val="single" w:color="auto" w:sz="4" w:space="0"/>
              <w:right w:val="single" w:color="auto" w:sz="4" w:space="0"/>
            </w:tcBorders>
            <w:noWrap w:val="0"/>
            <w:vAlign w:val="center"/>
          </w:tcPr>
          <w:p w14:paraId="0EA93E41">
            <w:pPr>
              <w:keepNext w:val="0"/>
              <w:keepLines w:val="0"/>
              <w:pageBreakBefore w:val="0"/>
              <w:widowControl w:val="0"/>
              <w:tabs>
                <w:tab w:val="left" w:pos="546"/>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3</w:t>
            </w:r>
          </w:p>
        </w:tc>
      </w:tr>
      <w:tr w14:paraId="1A4E5B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72" w:type="pct"/>
            <w:tcBorders>
              <w:top w:val="single" w:color="auto" w:sz="4" w:space="0"/>
              <w:left w:val="single" w:color="auto" w:sz="4" w:space="0"/>
              <w:bottom w:val="single" w:color="auto" w:sz="4" w:space="0"/>
              <w:right w:val="single" w:color="auto" w:sz="4" w:space="0"/>
            </w:tcBorders>
            <w:noWrap w:val="0"/>
            <w:vAlign w:val="center"/>
          </w:tcPr>
          <w:p w14:paraId="1E3C7962">
            <w:pPr>
              <w:keepNext w:val="0"/>
              <w:keepLines w:val="0"/>
              <w:pageBreakBefore w:val="0"/>
              <w:widowControl w:val="0"/>
              <w:tabs>
                <w:tab w:val="left" w:pos="546"/>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装药高度</w:t>
            </w:r>
          </w:p>
        </w:tc>
        <w:tc>
          <w:tcPr>
            <w:tcW w:w="832" w:type="pct"/>
            <w:tcBorders>
              <w:top w:val="single" w:color="auto" w:sz="4" w:space="0"/>
              <w:left w:val="single" w:color="auto" w:sz="4" w:space="0"/>
              <w:bottom w:val="single" w:color="auto" w:sz="4" w:space="0"/>
              <w:right w:val="single" w:color="auto" w:sz="4" w:space="0"/>
            </w:tcBorders>
            <w:noWrap w:val="0"/>
            <w:vAlign w:val="center"/>
          </w:tcPr>
          <w:p w14:paraId="648F09E6">
            <w:pPr>
              <w:keepNext w:val="0"/>
              <w:keepLines w:val="0"/>
              <w:pageBreakBefore w:val="0"/>
              <w:widowControl w:val="0"/>
              <w:tabs>
                <w:tab w:val="left" w:pos="546"/>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rPr>
            </w:pPr>
          </w:p>
        </w:tc>
        <w:tc>
          <w:tcPr>
            <w:tcW w:w="754" w:type="pct"/>
            <w:tcBorders>
              <w:top w:val="single" w:color="auto" w:sz="4" w:space="0"/>
              <w:left w:val="single" w:color="auto" w:sz="4" w:space="0"/>
              <w:bottom w:val="single" w:color="auto" w:sz="4" w:space="0"/>
              <w:right w:val="single" w:color="auto" w:sz="4" w:space="0"/>
            </w:tcBorders>
            <w:noWrap w:val="0"/>
            <w:vAlign w:val="center"/>
          </w:tcPr>
          <w:p w14:paraId="13764FAB">
            <w:pPr>
              <w:keepNext w:val="0"/>
              <w:keepLines w:val="0"/>
              <w:pageBreakBefore w:val="0"/>
              <w:widowControl w:val="0"/>
              <w:tabs>
                <w:tab w:val="left" w:pos="546"/>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m</w:t>
            </w:r>
          </w:p>
        </w:tc>
        <w:tc>
          <w:tcPr>
            <w:tcW w:w="1840" w:type="pct"/>
            <w:tcBorders>
              <w:top w:val="single" w:color="auto" w:sz="4" w:space="0"/>
              <w:left w:val="single" w:color="auto" w:sz="4" w:space="0"/>
              <w:bottom w:val="single" w:color="auto" w:sz="4" w:space="0"/>
              <w:right w:val="single" w:color="auto" w:sz="4" w:space="0"/>
            </w:tcBorders>
            <w:noWrap w:val="0"/>
            <w:vAlign w:val="center"/>
          </w:tcPr>
          <w:p w14:paraId="4099DD9F">
            <w:pPr>
              <w:keepNext w:val="0"/>
              <w:keepLines w:val="0"/>
              <w:pageBreakBefore w:val="0"/>
              <w:widowControl w:val="0"/>
              <w:tabs>
                <w:tab w:val="left" w:pos="546"/>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6.5</w:t>
            </w:r>
          </w:p>
        </w:tc>
      </w:tr>
      <w:tr w14:paraId="5EF44B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72" w:type="pct"/>
            <w:tcBorders>
              <w:top w:val="single" w:color="auto" w:sz="4" w:space="0"/>
              <w:left w:val="single" w:color="auto" w:sz="4" w:space="0"/>
              <w:bottom w:val="single" w:color="auto" w:sz="4" w:space="0"/>
              <w:right w:val="single" w:color="auto" w:sz="4" w:space="0"/>
            </w:tcBorders>
            <w:noWrap w:val="0"/>
            <w:vAlign w:val="center"/>
          </w:tcPr>
          <w:p w14:paraId="3E9BA805">
            <w:pPr>
              <w:keepNext w:val="0"/>
              <w:keepLines w:val="0"/>
              <w:pageBreakBefore w:val="0"/>
              <w:widowControl w:val="0"/>
              <w:tabs>
                <w:tab w:val="left" w:pos="546"/>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堵塞高度</w:t>
            </w:r>
          </w:p>
        </w:tc>
        <w:tc>
          <w:tcPr>
            <w:tcW w:w="832" w:type="pct"/>
            <w:tcBorders>
              <w:top w:val="single" w:color="auto" w:sz="4" w:space="0"/>
              <w:left w:val="single" w:color="auto" w:sz="4" w:space="0"/>
              <w:bottom w:val="single" w:color="auto" w:sz="4" w:space="0"/>
              <w:right w:val="single" w:color="auto" w:sz="4" w:space="0"/>
            </w:tcBorders>
            <w:noWrap w:val="0"/>
            <w:vAlign w:val="center"/>
          </w:tcPr>
          <w:p w14:paraId="46370600">
            <w:pPr>
              <w:keepNext w:val="0"/>
              <w:keepLines w:val="0"/>
              <w:pageBreakBefore w:val="0"/>
              <w:widowControl w:val="0"/>
              <w:tabs>
                <w:tab w:val="left" w:pos="546"/>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rPr>
            </w:pPr>
          </w:p>
        </w:tc>
        <w:tc>
          <w:tcPr>
            <w:tcW w:w="754" w:type="pct"/>
            <w:tcBorders>
              <w:top w:val="single" w:color="auto" w:sz="4" w:space="0"/>
              <w:left w:val="single" w:color="auto" w:sz="4" w:space="0"/>
              <w:bottom w:val="single" w:color="auto" w:sz="4" w:space="0"/>
              <w:right w:val="single" w:color="auto" w:sz="4" w:space="0"/>
            </w:tcBorders>
            <w:noWrap w:val="0"/>
            <w:vAlign w:val="center"/>
          </w:tcPr>
          <w:p w14:paraId="053B819D">
            <w:pPr>
              <w:keepNext w:val="0"/>
              <w:keepLines w:val="0"/>
              <w:pageBreakBefore w:val="0"/>
              <w:widowControl w:val="0"/>
              <w:tabs>
                <w:tab w:val="left" w:pos="546"/>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m</w:t>
            </w:r>
          </w:p>
        </w:tc>
        <w:tc>
          <w:tcPr>
            <w:tcW w:w="1840" w:type="pct"/>
            <w:tcBorders>
              <w:top w:val="single" w:color="auto" w:sz="4" w:space="0"/>
              <w:left w:val="single" w:color="auto" w:sz="4" w:space="0"/>
              <w:bottom w:val="single" w:color="auto" w:sz="4" w:space="0"/>
              <w:right w:val="single" w:color="auto" w:sz="4" w:space="0"/>
            </w:tcBorders>
            <w:noWrap w:val="0"/>
            <w:vAlign w:val="center"/>
          </w:tcPr>
          <w:p w14:paraId="671B6B89">
            <w:pPr>
              <w:keepNext w:val="0"/>
              <w:keepLines w:val="0"/>
              <w:pageBreakBefore w:val="0"/>
              <w:widowControl w:val="0"/>
              <w:tabs>
                <w:tab w:val="left" w:pos="546"/>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8.5</w:t>
            </w:r>
          </w:p>
        </w:tc>
      </w:tr>
      <w:tr w14:paraId="10BD1F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72" w:type="pct"/>
            <w:tcBorders>
              <w:top w:val="single" w:color="auto" w:sz="4" w:space="0"/>
              <w:left w:val="single" w:color="auto" w:sz="4" w:space="0"/>
              <w:bottom w:val="single" w:color="auto" w:sz="4" w:space="0"/>
              <w:right w:val="single" w:color="auto" w:sz="4" w:space="0"/>
            </w:tcBorders>
            <w:noWrap w:val="0"/>
            <w:vAlign w:val="center"/>
          </w:tcPr>
          <w:p w14:paraId="4509C607">
            <w:pPr>
              <w:keepNext w:val="0"/>
              <w:keepLines w:val="0"/>
              <w:pageBreakBefore w:val="0"/>
              <w:widowControl w:val="0"/>
              <w:tabs>
                <w:tab w:val="left" w:pos="546"/>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钻孔倾角</w:t>
            </w:r>
          </w:p>
        </w:tc>
        <w:tc>
          <w:tcPr>
            <w:tcW w:w="832" w:type="pct"/>
            <w:tcBorders>
              <w:top w:val="single" w:color="auto" w:sz="4" w:space="0"/>
              <w:left w:val="single" w:color="auto" w:sz="4" w:space="0"/>
              <w:bottom w:val="single" w:color="auto" w:sz="4" w:space="0"/>
              <w:right w:val="single" w:color="auto" w:sz="4" w:space="0"/>
            </w:tcBorders>
            <w:noWrap w:val="0"/>
            <w:vAlign w:val="center"/>
          </w:tcPr>
          <w:p w14:paraId="42C54639">
            <w:pPr>
              <w:keepNext w:val="0"/>
              <w:keepLines w:val="0"/>
              <w:pageBreakBefore w:val="0"/>
              <w:widowControl w:val="0"/>
              <w:tabs>
                <w:tab w:val="left" w:pos="546"/>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α</w:t>
            </w:r>
          </w:p>
        </w:tc>
        <w:tc>
          <w:tcPr>
            <w:tcW w:w="754" w:type="pct"/>
            <w:tcBorders>
              <w:top w:val="single" w:color="auto" w:sz="4" w:space="0"/>
              <w:left w:val="single" w:color="auto" w:sz="4" w:space="0"/>
              <w:bottom w:val="single" w:color="auto" w:sz="4" w:space="0"/>
              <w:right w:val="single" w:color="auto" w:sz="4" w:space="0"/>
            </w:tcBorders>
            <w:noWrap w:val="0"/>
            <w:vAlign w:val="center"/>
          </w:tcPr>
          <w:p w14:paraId="089D425C">
            <w:pPr>
              <w:keepNext w:val="0"/>
              <w:keepLines w:val="0"/>
              <w:pageBreakBefore w:val="0"/>
              <w:widowControl w:val="0"/>
              <w:tabs>
                <w:tab w:val="left" w:pos="546"/>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1840" w:type="pct"/>
            <w:tcBorders>
              <w:top w:val="single" w:color="auto" w:sz="4" w:space="0"/>
              <w:left w:val="single" w:color="auto" w:sz="4" w:space="0"/>
              <w:bottom w:val="single" w:color="auto" w:sz="4" w:space="0"/>
              <w:right w:val="single" w:color="auto" w:sz="4" w:space="0"/>
            </w:tcBorders>
            <w:noWrap w:val="0"/>
            <w:vAlign w:val="center"/>
          </w:tcPr>
          <w:p w14:paraId="7359A6E3">
            <w:pPr>
              <w:keepNext w:val="0"/>
              <w:keepLines w:val="0"/>
              <w:pageBreakBefore w:val="0"/>
              <w:widowControl w:val="0"/>
              <w:tabs>
                <w:tab w:val="left" w:pos="546"/>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同边坡坡度</w:t>
            </w:r>
          </w:p>
        </w:tc>
      </w:tr>
    </w:tbl>
    <w:p w14:paraId="7B02F997">
      <w:pPr>
        <w:bidi w:val="0"/>
        <w:rPr>
          <w:rFonts w:hint="default"/>
          <w:color w:val="auto"/>
          <w:lang w:val="en-US" w:eastAsia="zh-CN"/>
        </w:rPr>
      </w:pPr>
      <w:r>
        <w:rPr>
          <w:rFonts w:hint="default"/>
          <w:color w:val="auto"/>
          <w:lang w:val="en-US" w:eastAsia="zh-CN"/>
        </w:rPr>
        <w:t>③起爆网路</w:t>
      </w:r>
    </w:p>
    <w:p w14:paraId="38B849A8">
      <w:pPr>
        <w:rPr>
          <w:rFonts w:hint="default"/>
          <w:color w:val="auto"/>
          <w:lang w:val="en-US" w:eastAsia="zh-CN"/>
        </w:rPr>
      </w:pPr>
      <w:r>
        <w:rPr>
          <w:rFonts w:hint="default"/>
          <w:color w:val="auto"/>
          <w:lang w:val="en-US" w:eastAsia="zh-CN"/>
        </w:rPr>
        <w:t>一次爆破11个孔</w:t>
      </w:r>
      <w:r>
        <w:rPr>
          <w:rFonts w:hint="eastAsia"/>
          <w:color w:val="auto"/>
          <w:lang w:val="en-US" w:eastAsia="zh-CN"/>
        </w:rPr>
        <w:t>，单段单发起爆，每段起爆1个孔。</w:t>
      </w:r>
    </w:p>
    <w:p w14:paraId="635DD900">
      <w:pPr>
        <w:rPr>
          <w:rFonts w:hint="default"/>
          <w:color w:val="auto"/>
          <w:lang w:val="en-US" w:eastAsia="zh-CN"/>
        </w:rPr>
      </w:pPr>
      <w:r>
        <w:rPr>
          <w:rFonts w:hint="default"/>
          <w:color w:val="auto"/>
          <w:lang w:val="en-US" w:eastAsia="zh-CN"/>
        </w:rPr>
        <w:t>④大块石二次处理</w:t>
      </w:r>
    </w:p>
    <w:p w14:paraId="67B8190D">
      <w:pPr>
        <w:rPr>
          <w:rFonts w:hint="default"/>
          <w:color w:val="auto"/>
          <w:lang w:val="en-US" w:eastAsia="zh-CN"/>
        </w:rPr>
      </w:pPr>
      <w:r>
        <w:rPr>
          <w:rFonts w:hint="default"/>
          <w:color w:val="auto"/>
          <w:lang w:val="en-US" w:eastAsia="zh-CN"/>
        </w:rPr>
        <w:t>正常情况下，深孔爆破的大块率可控制在5～10</w:t>
      </w:r>
      <w:r>
        <w:rPr>
          <w:rFonts w:hint="eastAsia" w:ascii="Times New Roman" w:hAnsi="Times New Roman" w:cs="Times New Roman"/>
          <w:color w:val="auto"/>
          <w:lang w:val="en-US" w:eastAsia="zh-CN"/>
        </w:rPr>
        <w:t>%</w:t>
      </w:r>
      <w:r>
        <w:rPr>
          <w:rFonts w:hint="default"/>
          <w:color w:val="auto"/>
          <w:lang w:val="en-US" w:eastAsia="zh-CN"/>
        </w:rPr>
        <w:t>之间，大块石二次处理量较小。大块石采用液压锤在工作面进行二次破碎，禁止采用爆破法破碎大块碎石，以减少飞石的危害和响应。</w:t>
      </w:r>
    </w:p>
    <w:p w14:paraId="4AA771ED">
      <w:pPr>
        <w:rPr>
          <w:rFonts w:hint="default"/>
          <w:color w:val="auto"/>
          <w:lang w:val="en-US" w:eastAsia="zh-CN"/>
        </w:rPr>
      </w:pPr>
      <w:r>
        <w:rPr>
          <w:rFonts w:hint="default"/>
          <w:color w:val="auto"/>
          <w:lang w:val="en-US" w:eastAsia="zh-CN"/>
        </w:rPr>
        <w:t>（2）钻孔布置与装药结构</w:t>
      </w:r>
    </w:p>
    <w:p w14:paraId="14D122F1">
      <w:pPr>
        <w:rPr>
          <w:rFonts w:hint="default"/>
          <w:color w:val="auto"/>
          <w:lang w:val="en-US" w:eastAsia="zh-CN"/>
        </w:rPr>
      </w:pPr>
      <w:r>
        <w:rPr>
          <w:rFonts w:hint="default"/>
          <w:color w:val="auto"/>
          <w:lang w:val="en-US" w:eastAsia="zh-CN"/>
        </w:rPr>
        <w:t>①钻孔形式和布孔方式</w:t>
      </w:r>
    </w:p>
    <w:p w14:paraId="5588E283">
      <w:pPr>
        <w:rPr>
          <w:rFonts w:hint="default"/>
          <w:color w:val="auto"/>
          <w:lang w:val="en-US" w:eastAsia="zh-CN"/>
        </w:rPr>
      </w:pPr>
      <w:r>
        <w:rPr>
          <w:rFonts w:hint="default"/>
          <w:color w:val="auto"/>
          <w:lang w:val="en-US" w:eastAsia="zh-CN"/>
        </w:rPr>
        <w:t>采用倾斜钻孔布置，布孔方式采用矩形布孔。</w:t>
      </w:r>
    </w:p>
    <w:p w14:paraId="6D258E27">
      <w:pPr>
        <w:rPr>
          <w:rFonts w:hint="default"/>
          <w:color w:val="auto"/>
          <w:lang w:val="en-US" w:eastAsia="zh-CN"/>
        </w:rPr>
      </w:pPr>
      <w:r>
        <w:rPr>
          <w:rFonts w:hint="default"/>
          <w:color w:val="auto"/>
          <w:lang w:val="en-US" w:eastAsia="zh-CN"/>
        </w:rPr>
        <w:t>②装药、堵塞</w:t>
      </w:r>
    </w:p>
    <w:p w14:paraId="387198C8">
      <w:pPr>
        <w:rPr>
          <w:rFonts w:hint="default"/>
          <w:color w:val="auto"/>
          <w:lang w:val="en-US" w:eastAsia="zh-CN"/>
        </w:rPr>
      </w:pPr>
      <w:r>
        <w:rPr>
          <w:rFonts w:hint="default"/>
          <w:color w:val="auto"/>
          <w:lang w:val="en-US" w:eastAsia="zh-CN"/>
        </w:rPr>
        <w:t>a</w:t>
      </w:r>
      <w:r>
        <w:rPr>
          <w:rFonts w:hint="eastAsia"/>
          <w:color w:val="auto"/>
          <w:lang w:val="en-US" w:eastAsia="zh-CN"/>
        </w:rPr>
        <w:t>.</w:t>
      </w:r>
      <w:r>
        <w:rPr>
          <w:rFonts w:hint="default"/>
          <w:color w:val="auto"/>
          <w:lang w:val="en-US" w:eastAsia="zh-CN"/>
        </w:rPr>
        <w:t xml:space="preserve"> 装药结构：间隔装药。</w:t>
      </w:r>
    </w:p>
    <w:p w14:paraId="40102CE7">
      <w:pPr>
        <w:rPr>
          <w:rFonts w:hint="default"/>
          <w:color w:val="auto"/>
          <w:lang w:val="en-US" w:eastAsia="zh-CN"/>
        </w:rPr>
      </w:pPr>
      <w:r>
        <w:rPr>
          <w:rFonts w:hint="default"/>
          <w:color w:val="auto"/>
          <w:lang w:val="en-US" w:eastAsia="zh-CN"/>
        </w:rPr>
        <w:t>b</w:t>
      </w:r>
      <w:r>
        <w:rPr>
          <w:rFonts w:hint="eastAsia"/>
          <w:color w:val="auto"/>
          <w:lang w:val="en-US" w:eastAsia="zh-CN"/>
        </w:rPr>
        <w:t>.</w:t>
      </w:r>
      <w:r>
        <w:rPr>
          <w:rFonts w:hint="default"/>
          <w:color w:val="auto"/>
          <w:lang w:val="en-US" w:eastAsia="zh-CN"/>
        </w:rPr>
        <w:t xml:space="preserve"> 堵塞：堵塞料选用砂与粘土的混合物。</w:t>
      </w:r>
    </w:p>
    <w:p w14:paraId="6EE91E61">
      <w:pPr>
        <w:rPr>
          <w:rFonts w:hint="default"/>
          <w:color w:val="auto"/>
          <w:lang w:val="en-US" w:eastAsia="zh-CN"/>
        </w:rPr>
      </w:pPr>
      <w:r>
        <w:rPr>
          <w:rFonts w:hint="default"/>
          <w:color w:val="auto"/>
          <w:lang w:val="en-US" w:eastAsia="zh-CN"/>
        </w:rPr>
        <w:t>（3）起爆方法</w:t>
      </w:r>
    </w:p>
    <w:p w14:paraId="4A6D66D3">
      <w:pPr>
        <w:rPr>
          <w:rFonts w:hint="default"/>
          <w:color w:val="auto"/>
          <w:lang w:val="en-US" w:eastAsia="zh-CN"/>
        </w:rPr>
      </w:pPr>
      <w:r>
        <w:rPr>
          <w:rFonts w:hint="default"/>
          <w:color w:val="auto"/>
          <w:lang w:val="en-US" w:eastAsia="zh-CN"/>
        </w:rPr>
        <w:t>采用单段、单发高精度电子雷管起爆方式起爆。</w:t>
      </w:r>
    </w:p>
    <w:p w14:paraId="7601A53C">
      <w:pPr>
        <w:rPr>
          <w:rFonts w:hint="eastAsia"/>
          <w:color w:val="auto"/>
          <w:lang w:val="en-US" w:eastAsia="zh-CN"/>
        </w:rPr>
      </w:pPr>
      <w:r>
        <w:rPr>
          <w:rFonts w:hint="eastAsia"/>
          <w:color w:val="auto"/>
          <w:lang w:val="en-US" w:eastAsia="zh-CN"/>
        </w:rPr>
        <w:t>（4）安全警戒距离</w:t>
      </w:r>
    </w:p>
    <w:p w14:paraId="1DAE6896">
      <w:pPr>
        <w:rPr>
          <w:rFonts w:hint="default"/>
          <w:color w:val="auto"/>
          <w:lang w:val="en-US" w:eastAsia="zh-CN"/>
        </w:rPr>
      </w:pPr>
      <w:r>
        <w:rPr>
          <w:rFonts w:hint="default"/>
          <w:color w:val="auto"/>
          <w:lang w:val="en-US" w:eastAsia="zh-CN"/>
        </w:rPr>
        <w:t>安全警戒距离为300m。</w:t>
      </w:r>
    </w:p>
    <w:p w14:paraId="2C756AEA">
      <w:pPr>
        <w:rPr>
          <w:rFonts w:hint="default"/>
          <w:color w:val="auto"/>
          <w:lang w:val="en-US" w:eastAsia="zh-CN"/>
        </w:rPr>
      </w:pPr>
      <w:r>
        <w:rPr>
          <w:rFonts w:hint="eastAsia"/>
          <w:color w:val="auto"/>
          <w:lang w:val="en-US" w:eastAsia="zh-CN"/>
        </w:rPr>
        <w:t>（5）安全设施</w:t>
      </w:r>
    </w:p>
    <w:p w14:paraId="26775AE3">
      <w:pPr>
        <w:rPr>
          <w:color w:val="auto"/>
        </w:rPr>
      </w:pPr>
      <w:r>
        <w:rPr>
          <w:rFonts w:hint="default"/>
          <w:color w:val="auto"/>
          <w:lang w:val="en-US" w:eastAsia="zh-CN"/>
        </w:rPr>
        <w:t>爆破安全设施有：警示旗、报警器、警戒带</w:t>
      </w:r>
      <w:r>
        <w:rPr>
          <w:rFonts w:hint="eastAsia"/>
          <w:color w:val="auto"/>
          <w:lang w:val="en-US" w:eastAsia="zh-CN"/>
        </w:rPr>
        <w:t>等，采场内设置了2个钢制移动式避炮棚。</w:t>
      </w:r>
    </w:p>
    <w:p w14:paraId="4BB1F2F4">
      <w:pPr>
        <w:rPr>
          <w:rFonts w:hint="default"/>
          <w:color w:val="auto"/>
          <w:lang w:val="en-US" w:eastAsia="zh-CN"/>
        </w:rPr>
      </w:pPr>
      <w:r>
        <w:rPr>
          <w:rFonts w:hint="eastAsia"/>
          <w:color w:val="auto"/>
          <w:lang w:val="en-US" w:eastAsia="zh-CN"/>
        </w:rPr>
        <w:t>（6）爆破作业情况</w:t>
      </w:r>
    </w:p>
    <w:p w14:paraId="57C27C5E">
      <w:pPr>
        <w:rPr>
          <w:rFonts w:hint="default"/>
          <w:color w:val="auto"/>
          <w:lang w:val="en-US" w:eastAsia="zh-CN"/>
        </w:rPr>
      </w:pPr>
      <w:r>
        <w:rPr>
          <w:rFonts w:hint="default"/>
          <w:color w:val="auto"/>
          <w:lang w:val="en-US" w:eastAsia="zh-CN"/>
        </w:rPr>
        <w:t>德安县聂桥镇刘家山矿区建筑用辉绿岩矿露天开采工程爆破所需的爆破器材、爆破作业由九江市泰安爆破工程有限公司负责提供和运输、现场实施、退库、安全管理等。九江市泰安爆破工程有限公司</w:t>
      </w:r>
      <w:r>
        <w:rPr>
          <w:rFonts w:hint="eastAsia"/>
          <w:color w:val="auto"/>
          <w:lang w:val="en-US" w:eastAsia="zh-CN"/>
        </w:rPr>
        <w:t>具有《爆破作业单位许可证（营业性）》，</w:t>
      </w:r>
      <w:r>
        <w:rPr>
          <w:rFonts w:hint="default"/>
          <w:color w:val="auto"/>
          <w:lang w:val="en-US" w:eastAsia="zh-CN"/>
        </w:rPr>
        <w:t>资质等级：二级</w:t>
      </w:r>
      <w:r>
        <w:rPr>
          <w:rFonts w:hint="eastAsia"/>
          <w:color w:val="auto"/>
          <w:lang w:val="en-US" w:eastAsia="zh-CN"/>
        </w:rPr>
        <w:t>。双方签订有</w:t>
      </w:r>
      <w:r>
        <w:rPr>
          <w:rFonts w:hint="default"/>
          <w:color w:val="auto"/>
          <w:lang w:val="en-US" w:eastAsia="zh-CN"/>
        </w:rPr>
        <w:t>爆破协议书和安全生产管理协议。</w:t>
      </w:r>
    </w:p>
    <w:p w14:paraId="03479FCF">
      <w:pPr>
        <w:rPr>
          <w:rFonts w:hint="default"/>
          <w:color w:val="auto"/>
          <w:lang w:val="en-US" w:eastAsia="zh-CN"/>
        </w:rPr>
      </w:pPr>
      <w:r>
        <w:rPr>
          <w:rFonts w:hint="eastAsia"/>
          <w:color w:val="auto"/>
          <w:lang w:val="en-US" w:eastAsia="zh-CN"/>
        </w:rPr>
        <w:t>5. 铲装作业</w:t>
      </w:r>
    </w:p>
    <w:p w14:paraId="668F823E">
      <w:pPr>
        <w:rPr>
          <w:rFonts w:hint="default"/>
          <w:color w:val="auto"/>
          <w:lang w:val="en-US" w:eastAsia="zh-CN"/>
        </w:rPr>
      </w:pPr>
      <w:r>
        <w:rPr>
          <w:rFonts w:hint="default"/>
          <w:color w:val="auto"/>
          <w:lang w:val="en-US" w:eastAsia="zh-CN"/>
        </w:rPr>
        <w:t>铲装选用挖掘机配自卸式汽车，装车后运到碎石加工场进行破碎。矿山配备了3台型号为950GC</w:t>
      </w:r>
      <w:r>
        <w:rPr>
          <w:rFonts w:hint="eastAsia"/>
          <w:color w:val="auto"/>
          <w:lang w:val="en-US" w:eastAsia="zh-CN"/>
        </w:rPr>
        <w:t>、</w:t>
      </w:r>
      <w:r>
        <w:rPr>
          <w:rFonts w:hint="default"/>
          <w:color w:val="auto"/>
          <w:lang w:val="en-US" w:eastAsia="zh-CN"/>
        </w:rPr>
        <w:t>功率168</w:t>
      </w:r>
      <w:r>
        <w:rPr>
          <w:rFonts w:hint="eastAsia"/>
          <w:color w:val="auto"/>
          <w:lang w:val="en-US" w:eastAsia="zh-CN"/>
        </w:rPr>
        <w:t>k</w:t>
      </w:r>
      <w:r>
        <w:rPr>
          <w:rFonts w:hint="default"/>
          <w:color w:val="auto"/>
          <w:lang w:val="en-US" w:eastAsia="zh-CN"/>
        </w:rPr>
        <w:t>W的轮胎式装载机，4台型号为PC460LC-8</w:t>
      </w:r>
      <w:r>
        <w:rPr>
          <w:rFonts w:hint="eastAsia"/>
          <w:color w:val="auto"/>
          <w:lang w:val="en-US" w:eastAsia="zh-CN"/>
        </w:rPr>
        <w:t>、</w:t>
      </w:r>
      <w:r>
        <w:rPr>
          <w:rFonts w:hint="default"/>
          <w:color w:val="auto"/>
          <w:lang w:val="en-US" w:eastAsia="zh-CN"/>
        </w:rPr>
        <w:t>功率275</w:t>
      </w:r>
      <w:r>
        <w:rPr>
          <w:rFonts w:hint="eastAsia"/>
          <w:color w:val="auto"/>
          <w:lang w:val="en-US" w:eastAsia="zh-CN"/>
        </w:rPr>
        <w:t>k</w:t>
      </w:r>
      <w:r>
        <w:rPr>
          <w:rFonts w:hint="default"/>
          <w:color w:val="auto"/>
          <w:lang w:val="en-US" w:eastAsia="zh-CN"/>
        </w:rPr>
        <w:t>W的液压挖掘机，2台型号为340D2L</w:t>
      </w:r>
      <w:r>
        <w:rPr>
          <w:rFonts w:hint="eastAsia"/>
          <w:color w:val="auto"/>
          <w:lang w:val="en-US" w:eastAsia="zh-CN"/>
        </w:rPr>
        <w:t>、</w:t>
      </w:r>
      <w:r>
        <w:rPr>
          <w:rFonts w:hint="default"/>
          <w:color w:val="auto"/>
          <w:lang w:val="en-US" w:eastAsia="zh-CN"/>
        </w:rPr>
        <w:t>功率209</w:t>
      </w:r>
      <w:r>
        <w:rPr>
          <w:rFonts w:hint="eastAsia"/>
          <w:color w:val="auto"/>
          <w:lang w:val="en-US" w:eastAsia="zh-CN"/>
        </w:rPr>
        <w:t>k</w:t>
      </w:r>
      <w:r>
        <w:rPr>
          <w:rFonts w:hint="default"/>
          <w:color w:val="auto"/>
          <w:lang w:val="en-US" w:eastAsia="zh-CN"/>
        </w:rPr>
        <w:t>W的履带式液压挖掘机。</w:t>
      </w:r>
      <w:r>
        <w:rPr>
          <w:rFonts w:hint="eastAsia"/>
          <w:color w:val="auto"/>
          <w:lang w:val="en-US" w:eastAsia="zh-CN"/>
        </w:rPr>
        <w:t>8</w:t>
      </w:r>
      <w:r>
        <w:rPr>
          <w:rFonts w:hint="default"/>
          <w:color w:val="auto"/>
          <w:lang w:val="en-US" w:eastAsia="zh-CN"/>
        </w:rPr>
        <w:t>台非公路矿用自卸车，型号为STL3601PK3940W0，功率316</w:t>
      </w:r>
      <w:r>
        <w:rPr>
          <w:rFonts w:hint="eastAsia"/>
          <w:color w:val="auto"/>
          <w:lang w:val="en-US" w:eastAsia="zh-CN"/>
        </w:rPr>
        <w:t>k</w:t>
      </w:r>
      <w:r>
        <w:rPr>
          <w:rFonts w:hint="default"/>
          <w:color w:val="auto"/>
          <w:lang w:val="en-US" w:eastAsia="zh-CN"/>
        </w:rPr>
        <w:t>W</w:t>
      </w:r>
      <w:r>
        <w:rPr>
          <w:rFonts w:hint="eastAsia"/>
          <w:color w:val="auto"/>
          <w:lang w:val="en-US" w:eastAsia="zh-CN"/>
        </w:rPr>
        <w:t>、</w:t>
      </w:r>
      <w:r>
        <w:rPr>
          <w:rFonts w:hint="default"/>
          <w:color w:val="auto"/>
          <w:lang w:val="en-US" w:eastAsia="zh-CN"/>
        </w:rPr>
        <w:t>载重40吨。</w:t>
      </w:r>
    </w:p>
    <w:p w14:paraId="740EACDC">
      <w:pPr>
        <w:pStyle w:val="4"/>
        <w:bidi w:val="0"/>
        <w:rPr>
          <w:rFonts w:hint="default"/>
          <w:color w:val="auto"/>
          <w:lang w:val="en-US" w:eastAsia="zh-CN"/>
        </w:rPr>
      </w:pPr>
      <w:bookmarkStart w:id="113" w:name="_Toc6159"/>
      <w:bookmarkStart w:id="114" w:name="_Toc8027"/>
      <w:bookmarkStart w:id="115" w:name="_Toc32576"/>
      <w:r>
        <w:rPr>
          <w:rFonts w:hint="default"/>
          <w:color w:val="auto"/>
          <w:lang w:val="en-US" w:eastAsia="zh-CN"/>
        </w:rPr>
        <w:t>2.4.</w:t>
      </w:r>
      <w:r>
        <w:rPr>
          <w:rFonts w:hint="eastAsia"/>
          <w:color w:val="auto"/>
          <w:lang w:val="en-US" w:eastAsia="zh-CN"/>
        </w:rPr>
        <w:t>8</w:t>
      </w:r>
      <w:r>
        <w:rPr>
          <w:rFonts w:hint="default"/>
          <w:color w:val="auto"/>
          <w:lang w:val="en-US" w:eastAsia="zh-CN"/>
        </w:rPr>
        <w:t xml:space="preserve"> 矿山通风与防尘</w:t>
      </w:r>
      <w:bookmarkEnd w:id="113"/>
      <w:bookmarkEnd w:id="114"/>
      <w:bookmarkEnd w:id="115"/>
    </w:p>
    <w:p w14:paraId="54A61DEB">
      <w:pPr>
        <w:rPr>
          <w:rFonts w:hint="default"/>
          <w:color w:val="auto"/>
          <w:lang w:val="en-US" w:eastAsia="zh-CN"/>
        </w:rPr>
      </w:pPr>
      <w:r>
        <w:rPr>
          <w:rFonts w:hint="default"/>
          <w:color w:val="auto"/>
          <w:lang w:val="en-US" w:eastAsia="zh-CN"/>
        </w:rPr>
        <w:t>1</w:t>
      </w:r>
      <w:r>
        <w:rPr>
          <w:rFonts w:hint="eastAsia"/>
          <w:color w:val="auto"/>
          <w:lang w:val="en-US" w:eastAsia="zh-CN"/>
        </w:rPr>
        <w:t xml:space="preserve">. </w:t>
      </w:r>
      <w:r>
        <w:rPr>
          <w:rFonts w:hint="default"/>
          <w:color w:val="auto"/>
          <w:lang w:val="en-US" w:eastAsia="zh-CN"/>
        </w:rPr>
        <w:t>矿山通风</w:t>
      </w:r>
    </w:p>
    <w:p w14:paraId="6D097538">
      <w:pPr>
        <w:rPr>
          <w:rFonts w:hint="default"/>
          <w:color w:val="auto"/>
          <w:lang w:val="en-US" w:eastAsia="zh-CN"/>
        </w:rPr>
      </w:pPr>
      <w:r>
        <w:rPr>
          <w:rFonts w:hint="eastAsia"/>
          <w:color w:val="auto"/>
          <w:lang w:val="en-US" w:eastAsia="zh-CN"/>
        </w:rPr>
        <w:t>本</w:t>
      </w:r>
      <w:r>
        <w:rPr>
          <w:rFonts w:hint="default"/>
          <w:color w:val="auto"/>
          <w:lang w:val="en-US" w:eastAsia="zh-CN"/>
        </w:rPr>
        <w:t>矿露天开采，采场布置场地开阔、自然通风条件良好。</w:t>
      </w:r>
    </w:p>
    <w:p w14:paraId="1D918C55">
      <w:pPr>
        <w:rPr>
          <w:rFonts w:hint="default"/>
          <w:color w:val="auto"/>
          <w:lang w:val="en-US" w:eastAsia="zh-CN"/>
        </w:rPr>
      </w:pPr>
      <w:r>
        <w:rPr>
          <w:rFonts w:hint="default"/>
          <w:color w:val="auto"/>
          <w:lang w:val="en-US" w:eastAsia="zh-CN"/>
        </w:rPr>
        <w:t>2</w:t>
      </w:r>
      <w:r>
        <w:rPr>
          <w:rFonts w:hint="eastAsia"/>
          <w:color w:val="auto"/>
          <w:lang w:val="en-US" w:eastAsia="zh-CN"/>
        </w:rPr>
        <w:t xml:space="preserve">. </w:t>
      </w:r>
      <w:r>
        <w:rPr>
          <w:rFonts w:hint="default"/>
          <w:color w:val="auto"/>
          <w:lang w:val="en-US" w:eastAsia="zh-CN"/>
        </w:rPr>
        <w:t>防尘</w:t>
      </w:r>
    </w:p>
    <w:p w14:paraId="2EE12248">
      <w:pPr>
        <w:rPr>
          <w:rFonts w:hint="default"/>
          <w:color w:val="auto"/>
          <w:lang w:val="en-US" w:eastAsia="zh-CN"/>
        </w:rPr>
      </w:pPr>
      <w:r>
        <w:rPr>
          <w:rFonts w:hint="default"/>
          <w:color w:val="auto"/>
          <w:lang w:val="en-US" w:eastAsia="zh-CN"/>
        </w:rPr>
        <w:t>矿山在生产过程中会产生大量的粉尘，主要产生于凿岩、爆破、装车、运输和破碎作业场所。</w:t>
      </w:r>
    </w:p>
    <w:p w14:paraId="51866E68">
      <w:pPr>
        <w:rPr>
          <w:rFonts w:hint="default"/>
          <w:color w:val="auto"/>
          <w:lang w:val="en-US" w:eastAsia="zh-CN"/>
        </w:rPr>
      </w:pPr>
      <w:r>
        <w:rPr>
          <w:rFonts w:hint="default"/>
          <w:color w:val="auto"/>
          <w:lang w:val="en-US" w:eastAsia="zh-CN"/>
        </w:rPr>
        <w:t>矿山凿岩采用全液压履带式露天钻机凿岩，采用湿式凿岩。对采掘工作面爆堆和装卸矿等产尘集中处采用</w:t>
      </w:r>
      <w:r>
        <w:rPr>
          <w:rFonts w:hint="eastAsia"/>
          <w:color w:val="auto"/>
          <w:lang w:val="en-US" w:eastAsia="zh-CN"/>
        </w:rPr>
        <w:t>2台型号</w:t>
      </w:r>
      <w:r>
        <w:rPr>
          <w:rFonts w:hint="default"/>
          <w:color w:val="auto"/>
          <w:lang w:val="en-US" w:eastAsia="zh-CN"/>
        </w:rPr>
        <w:t>为</w:t>
      </w:r>
      <w:r>
        <w:rPr>
          <w:rFonts w:hint="eastAsia"/>
          <w:color w:val="auto"/>
          <w:lang w:val="en-US" w:eastAsia="zh-CN"/>
        </w:rPr>
        <w:t>CLW5162GPSES、规格</w:t>
      </w:r>
      <w:r>
        <w:rPr>
          <w:rFonts w:hint="default"/>
          <w:color w:val="auto"/>
          <w:lang w:val="en-US" w:eastAsia="zh-CN"/>
        </w:rPr>
        <w:t>为</w:t>
      </w:r>
      <w:r>
        <w:rPr>
          <w:rFonts w:hint="eastAsia"/>
          <w:color w:val="auto"/>
          <w:lang w:val="en-US" w:eastAsia="zh-CN"/>
        </w:rPr>
        <w:t>10m³的</w:t>
      </w:r>
      <w:r>
        <w:rPr>
          <w:rFonts w:hint="default"/>
          <w:color w:val="auto"/>
          <w:lang w:val="en-US" w:eastAsia="zh-CN"/>
        </w:rPr>
        <w:t>洒水车洒水除尘，使粉尘浓度控制在国家规定工业企业</w:t>
      </w:r>
      <w:r>
        <w:rPr>
          <w:rFonts w:hint="eastAsia"/>
          <w:color w:val="auto"/>
          <w:lang w:val="en-US" w:eastAsia="zh-CN"/>
        </w:rPr>
        <w:t>标准</w:t>
      </w:r>
      <w:r>
        <w:rPr>
          <w:rFonts w:hint="default"/>
          <w:color w:val="auto"/>
          <w:lang w:val="en-US" w:eastAsia="zh-CN"/>
        </w:rPr>
        <w:t>以下。</w:t>
      </w:r>
    </w:p>
    <w:p w14:paraId="20C887EF">
      <w:pPr>
        <w:pStyle w:val="4"/>
        <w:bidi w:val="0"/>
        <w:rPr>
          <w:rFonts w:hint="default"/>
          <w:color w:val="auto"/>
          <w:lang w:val="en-US" w:eastAsia="zh-CN"/>
        </w:rPr>
      </w:pPr>
      <w:bookmarkStart w:id="116" w:name="_Toc16470"/>
      <w:bookmarkStart w:id="117" w:name="_Toc17753"/>
      <w:bookmarkStart w:id="118" w:name="_Toc4800"/>
      <w:r>
        <w:rPr>
          <w:rFonts w:hint="default"/>
          <w:color w:val="auto"/>
          <w:lang w:val="en-US" w:eastAsia="zh-CN"/>
        </w:rPr>
        <w:t>2.4.</w:t>
      </w:r>
      <w:r>
        <w:rPr>
          <w:rFonts w:hint="eastAsia"/>
          <w:color w:val="auto"/>
          <w:lang w:val="en-US" w:eastAsia="zh-CN"/>
        </w:rPr>
        <w:t>9</w:t>
      </w:r>
      <w:r>
        <w:rPr>
          <w:rFonts w:hint="default"/>
          <w:color w:val="auto"/>
          <w:lang w:val="en-US" w:eastAsia="zh-CN"/>
        </w:rPr>
        <w:t xml:space="preserve"> 防排水与防灭火</w:t>
      </w:r>
      <w:bookmarkEnd w:id="116"/>
      <w:bookmarkEnd w:id="117"/>
      <w:bookmarkEnd w:id="118"/>
    </w:p>
    <w:p w14:paraId="69DEF56C">
      <w:pPr>
        <w:rPr>
          <w:rFonts w:hint="default"/>
          <w:color w:val="auto"/>
          <w:lang w:val="en-US" w:eastAsia="zh-CN"/>
        </w:rPr>
      </w:pPr>
      <w:r>
        <w:rPr>
          <w:rFonts w:hint="eastAsia"/>
          <w:color w:val="auto"/>
          <w:lang w:val="en-US" w:eastAsia="zh-CN"/>
        </w:rPr>
        <w:t>1. 防排水系统</w:t>
      </w:r>
    </w:p>
    <w:p w14:paraId="1E187400">
      <w:pPr>
        <w:rPr>
          <w:rFonts w:hint="default"/>
          <w:color w:val="auto"/>
          <w:lang w:val="en-US" w:eastAsia="zh-CN"/>
        </w:rPr>
      </w:pPr>
      <w:r>
        <w:rPr>
          <w:rFonts w:hint="default"/>
          <w:color w:val="auto"/>
          <w:lang w:val="en-US" w:eastAsia="zh-CN"/>
        </w:rPr>
        <w:t>矿区水文地质条件简单，开采范围较小，山坡露采的矿体其出露标高均在当地最低侵蚀基准面之上，采坑积水可自行排泄。</w:t>
      </w:r>
    </w:p>
    <w:p w14:paraId="32182033">
      <w:pPr>
        <w:rPr>
          <w:rFonts w:hint="default"/>
          <w:color w:val="auto"/>
          <w:lang w:val="en-US" w:eastAsia="zh-CN"/>
        </w:rPr>
      </w:pPr>
      <w:r>
        <w:rPr>
          <w:rFonts w:hint="eastAsia"/>
          <w:color w:val="auto"/>
          <w:lang w:val="en-US" w:eastAsia="zh-CN"/>
        </w:rPr>
        <w:t>目前</w:t>
      </w:r>
      <w:r>
        <w:rPr>
          <w:rFonts w:hint="default"/>
          <w:color w:val="auto"/>
          <w:lang w:val="en-US" w:eastAsia="zh-CN"/>
        </w:rPr>
        <w:t>企业在矿区北侧</w:t>
      </w:r>
      <w:r>
        <w:rPr>
          <w:rFonts w:hint="eastAsia"/>
          <w:color w:val="auto"/>
          <w:lang w:val="en-US" w:eastAsia="zh-CN"/>
        </w:rPr>
        <w:t>、</w:t>
      </w:r>
      <w:r>
        <w:rPr>
          <w:rFonts w:hint="default"/>
          <w:color w:val="auto"/>
          <w:lang w:val="en-US" w:eastAsia="zh-CN"/>
        </w:rPr>
        <w:t>东侧</w:t>
      </w:r>
      <w:r>
        <w:rPr>
          <w:rFonts w:hint="eastAsia"/>
          <w:color w:val="auto"/>
          <w:lang w:val="en-US" w:eastAsia="zh-CN"/>
        </w:rPr>
        <w:t>、南侧</w:t>
      </w:r>
      <w:r>
        <w:rPr>
          <w:rFonts w:hint="default"/>
          <w:color w:val="auto"/>
          <w:lang w:val="en-US" w:eastAsia="zh-CN"/>
        </w:rPr>
        <w:t>设置了截水沟，断面为矩形，沟宽0.6m，深0.4m。</w:t>
      </w:r>
      <w:r>
        <w:rPr>
          <w:rFonts w:hint="eastAsia"/>
          <w:color w:val="auto"/>
          <w:lang w:val="en-US" w:eastAsia="zh-CN"/>
        </w:rPr>
        <w:t>+299m、+260m平台</w:t>
      </w:r>
      <w:r>
        <w:rPr>
          <w:rFonts w:hint="default"/>
          <w:color w:val="auto"/>
          <w:lang w:val="en-US" w:eastAsia="zh-CN"/>
        </w:rPr>
        <w:t>设置了排水沟</w:t>
      </w:r>
      <w:r>
        <w:rPr>
          <w:rFonts w:hint="eastAsia" w:hAnsi="Times New Roman" w:cs="Times New Roman"/>
          <w:color w:val="auto"/>
          <w:szCs w:val="24"/>
          <w:lang w:val="zh-CN"/>
        </w:rPr>
        <w:t>将采场内的水引至境界外</w:t>
      </w:r>
      <w:r>
        <w:rPr>
          <w:rFonts w:hint="eastAsia"/>
          <w:color w:val="auto"/>
          <w:lang w:val="en-US" w:eastAsia="zh-CN"/>
        </w:rPr>
        <w:t>（</w:t>
      </w:r>
      <w:r>
        <w:rPr>
          <w:rFonts w:hint="default"/>
          <w:color w:val="auto"/>
          <w:lang w:val="en-US" w:eastAsia="zh-CN"/>
        </w:rPr>
        <w:t>排水沟断面为矩形，底宽0.3m，上部宽0.5m，深0.5m</w:t>
      </w:r>
      <w:r>
        <w:rPr>
          <w:rFonts w:hint="eastAsia"/>
          <w:color w:val="auto"/>
          <w:lang w:val="en-US" w:eastAsia="zh-CN"/>
        </w:rPr>
        <w:t>）</w:t>
      </w:r>
      <w:r>
        <w:rPr>
          <w:rFonts w:hint="default"/>
          <w:color w:val="auto"/>
          <w:lang w:val="en-US" w:eastAsia="zh-CN"/>
        </w:rPr>
        <w:t>，运输道路</w:t>
      </w:r>
      <w:r>
        <w:rPr>
          <w:rFonts w:hint="eastAsia"/>
          <w:color w:val="auto"/>
          <w:lang w:val="en-US" w:eastAsia="zh-CN"/>
        </w:rPr>
        <w:t>从进矿到+221m平台、</w:t>
      </w:r>
      <w:r>
        <w:rPr>
          <w:rFonts w:hint="default"/>
          <w:color w:val="auto"/>
          <w:lang w:val="en-US" w:eastAsia="zh-CN"/>
        </w:rPr>
        <w:t>工业场地周边设置了排水沟</w:t>
      </w:r>
      <w:r>
        <w:rPr>
          <w:rFonts w:hint="eastAsia"/>
          <w:color w:val="auto"/>
          <w:lang w:val="en-US" w:eastAsia="zh-CN"/>
        </w:rPr>
        <w:t>（</w:t>
      </w:r>
      <w:r>
        <w:rPr>
          <w:rFonts w:hint="default"/>
          <w:color w:val="auto"/>
          <w:lang w:val="en-US" w:eastAsia="zh-CN"/>
        </w:rPr>
        <w:t>排水沟为矩形断面，底宽0.</w:t>
      </w:r>
      <w:r>
        <w:rPr>
          <w:rFonts w:hint="eastAsia"/>
          <w:color w:val="auto"/>
          <w:lang w:val="en-US" w:eastAsia="zh-CN"/>
        </w:rPr>
        <w:t>4</w:t>
      </w:r>
      <w:r>
        <w:rPr>
          <w:rFonts w:hint="default"/>
          <w:color w:val="auto"/>
          <w:lang w:val="en-US" w:eastAsia="zh-CN"/>
        </w:rPr>
        <w:t>m，上部宽0.5m，深0.5m</w:t>
      </w:r>
      <w:r>
        <w:rPr>
          <w:rFonts w:hint="eastAsia"/>
          <w:color w:val="auto"/>
          <w:lang w:val="en-US" w:eastAsia="zh-CN"/>
        </w:rPr>
        <w:t>）</w:t>
      </w:r>
      <w:r>
        <w:rPr>
          <w:rFonts w:hint="default"/>
          <w:color w:val="auto"/>
          <w:lang w:val="en-US" w:eastAsia="zh-CN"/>
        </w:rPr>
        <w:t>。</w:t>
      </w:r>
      <w:r>
        <w:rPr>
          <w:rFonts w:hint="eastAsia"/>
          <w:color w:val="auto"/>
          <w:lang w:val="en-US" w:eastAsia="zh-CN"/>
        </w:rPr>
        <w:t>综上所述，</w:t>
      </w:r>
      <w:r>
        <w:rPr>
          <w:rFonts w:hint="default"/>
          <w:color w:val="auto"/>
          <w:lang w:val="en-US" w:eastAsia="zh-CN"/>
        </w:rPr>
        <w:t>矿区</w:t>
      </w:r>
      <w:r>
        <w:rPr>
          <w:rFonts w:hint="eastAsia"/>
          <w:color w:val="auto"/>
          <w:lang w:val="en-US" w:eastAsia="zh-CN"/>
        </w:rPr>
        <w:t>防排水系统</w:t>
      </w:r>
      <w:r>
        <w:rPr>
          <w:rFonts w:hint="default"/>
          <w:color w:val="auto"/>
          <w:lang w:val="en-US" w:eastAsia="zh-CN"/>
        </w:rPr>
        <w:t>较完善。</w:t>
      </w:r>
    </w:p>
    <w:p w14:paraId="3F428F64">
      <w:pPr>
        <w:rPr>
          <w:rFonts w:hint="eastAsia"/>
          <w:color w:val="auto"/>
          <w:lang w:val="en-US" w:eastAsia="zh-CN"/>
        </w:rPr>
      </w:pPr>
      <w:r>
        <w:rPr>
          <w:rFonts w:hint="eastAsia"/>
          <w:color w:val="auto"/>
          <w:lang w:val="en-US" w:eastAsia="zh-CN"/>
        </w:rPr>
        <w:t>2. 防灭火</w:t>
      </w:r>
    </w:p>
    <w:p w14:paraId="16417B0C">
      <w:pPr>
        <w:rPr>
          <w:rFonts w:hint="default"/>
          <w:color w:val="auto"/>
          <w:lang w:val="en-US" w:eastAsia="zh-CN"/>
        </w:rPr>
      </w:pPr>
      <w:r>
        <w:rPr>
          <w:rFonts w:hint="default"/>
          <w:color w:val="auto"/>
          <w:lang w:val="en-US" w:eastAsia="zh-CN"/>
        </w:rPr>
        <w:t>本矿山矿岩本身无可燃性，采场发生火灾的可能性较低，但由于矿山植被发育，易发生森林火灾，要加强防火意识的宣传、教育，并采取预防措施，杜绝森林火灾的发生。</w:t>
      </w:r>
    </w:p>
    <w:p w14:paraId="4E2FD617">
      <w:pPr>
        <w:rPr>
          <w:rFonts w:hint="default"/>
          <w:color w:val="auto"/>
          <w:lang w:val="en-US" w:eastAsia="zh-CN"/>
        </w:rPr>
      </w:pPr>
      <w:r>
        <w:rPr>
          <w:rFonts w:hint="eastAsia"/>
          <w:color w:val="auto"/>
          <w:lang w:val="en-US" w:eastAsia="zh-CN"/>
        </w:rPr>
        <w:t>矿山高位水池容积332m</w:t>
      </w:r>
      <w:r>
        <w:rPr>
          <w:rFonts w:hint="default"/>
          <w:color w:val="auto"/>
          <w:vertAlign w:val="superscript"/>
          <w:lang w:val="en-US" w:eastAsia="zh-CN"/>
        </w:rPr>
        <w:t>3</w:t>
      </w:r>
      <w:r>
        <w:rPr>
          <w:rFonts w:hint="eastAsia"/>
          <w:color w:val="auto"/>
          <w:vertAlign w:val="baseline"/>
          <w:lang w:val="en-US" w:eastAsia="zh-CN"/>
        </w:rPr>
        <w:t>，其中</w:t>
      </w:r>
      <w:r>
        <w:rPr>
          <w:rFonts w:hint="eastAsia"/>
          <w:color w:val="auto"/>
        </w:rPr>
        <w:t>生产用水2</w:t>
      </w:r>
      <w:r>
        <w:rPr>
          <w:rFonts w:hint="eastAsia"/>
          <w:color w:val="auto"/>
          <w:lang w:val="en-US" w:eastAsia="zh-CN"/>
        </w:rPr>
        <w:t>60</w:t>
      </w:r>
      <w:r>
        <w:rPr>
          <w:rFonts w:hint="eastAsia"/>
          <w:color w:val="auto"/>
        </w:rPr>
        <w:t>m</w:t>
      </w:r>
      <w:r>
        <w:rPr>
          <w:rFonts w:hint="default"/>
          <w:color w:val="auto"/>
          <w:vertAlign w:val="superscript"/>
          <w:lang w:val="en-US" w:eastAsia="zh-CN"/>
        </w:rPr>
        <w:t>3</w:t>
      </w:r>
      <w:r>
        <w:rPr>
          <w:rFonts w:hint="eastAsia"/>
          <w:color w:val="auto"/>
          <w:vertAlign w:val="baseline"/>
          <w:lang w:val="en-US" w:eastAsia="zh-CN"/>
        </w:rPr>
        <w:t>，</w:t>
      </w:r>
      <w:r>
        <w:rPr>
          <w:rFonts w:hint="default"/>
          <w:color w:val="auto"/>
          <w:lang w:val="en-US" w:eastAsia="zh-CN"/>
        </w:rPr>
        <w:t>消防用水72m</w:t>
      </w:r>
      <w:r>
        <w:rPr>
          <w:rFonts w:hint="default"/>
          <w:color w:val="auto"/>
          <w:vertAlign w:val="superscript"/>
          <w:lang w:val="en-US" w:eastAsia="zh-CN"/>
        </w:rPr>
        <w:t>3</w:t>
      </w:r>
      <w:r>
        <w:rPr>
          <w:rFonts w:hint="eastAsia"/>
          <w:color w:val="auto"/>
          <w:vertAlign w:val="baseline"/>
          <w:lang w:val="en-US" w:eastAsia="zh-CN"/>
        </w:rPr>
        <w:t>。</w:t>
      </w:r>
      <w:r>
        <w:rPr>
          <w:rFonts w:hint="default"/>
          <w:color w:val="auto"/>
          <w:lang w:val="en-US" w:eastAsia="zh-CN"/>
        </w:rPr>
        <w:t>矿区室外消火栓布置：每2个消火栓间距</w:t>
      </w:r>
      <w:r>
        <w:rPr>
          <w:rFonts w:hint="eastAsia" w:ascii="宋体" w:hAnsi="宋体" w:eastAsia="宋体" w:cs="宋体"/>
          <w:color w:val="auto"/>
          <w:lang w:val="en-US" w:eastAsia="zh-CN"/>
        </w:rPr>
        <w:t>≤</w:t>
      </w:r>
      <w:r>
        <w:rPr>
          <w:rFonts w:hint="default"/>
          <w:color w:val="auto"/>
          <w:lang w:val="en-US" w:eastAsia="zh-CN"/>
        </w:rPr>
        <w:t>120m，各单体建筑物室内、外消火栓按《建筑设计防火规范》设置。配电室、仓库、办公室等设置醒目的防火标志和防火注意事项，并配置MF/ABC类磷酸铵盐干粉灭火器等移动式消防器材。</w:t>
      </w:r>
      <w:r>
        <w:rPr>
          <w:rFonts w:hint="eastAsia"/>
          <w:color w:val="auto"/>
          <w:lang w:val="en-US" w:eastAsia="zh-CN"/>
        </w:rPr>
        <w:t>前</w:t>
      </w:r>
      <w:r>
        <w:rPr>
          <w:rFonts w:hint="default"/>
          <w:color w:val="auto"/>
          <w:lang w:val="en-US" w:eastAsia="zh-CN"/>
        </w:rPr>
        <w:t>述</w:t>
      </w:r>
      <w:r>
        <w:rPr>
          <w:rFonts w:hint="eastAsia"/>
          <w:color w:val="auto"/>
          <w:lang w:val="en-US" w:eastAsia="zh-CN"/>
        </w:rPr>
        <w:t>采场</w:t>
      </w:r>
      <w:r>
        <w:rPr>
          <w:rFonts w:hint="default"/>
          <w:color w:val="auto"/>
          <w:lang w:val="en-US" w:eastAsia="zh-CN"/>
        </w:rPr>
        <w:t>作业设备</w:t>
      </w:r>
      <w:r>
        <w:rPr>
          <w:rFonts w:hint="eastAsia"/>
          <w:color w:val="auto"/>
          <w:lang w:val="en-US" w:eastAsia="zh-CN"/>
        </w:rPr>
        <w:t>（如挖掘机、自卸车等）均</w:t>
      </w:r>
      <w:r>
        <w:rPr>
          <w:rFonts w:hint="default"/>
          <w:color w:val="auto"/>
          <w:lang w:val="en-US" w:eastAsia="zh-CN"/>
        </w:rPr>
        <w:t>配有灭火器。</w:t>
      </w:r>
    </w:p>
    <w:p w14:paraId="7A673E7A">
      <w:pPr>
        <w:pStyle w:val="4"/>
        <w:bidi w:val="0"/>
        <w:rPr>
          <w:rFonts w:hint="default"/>
          <w:color w:val="auto"/>
          <w:lang w:val="en-US" w:eastAsia="zh-CN"/>
        </w:rPr>
      </w:pPr>
      <w:bookmarkStart w:id="119" w:name="_Toc30934"/>
      <w:bookmarkStart w:id="120" w:name="_Toc28589"/>
      <w:bookmarkStart w:id="121" w:name="_Toc29532"/>
      <w:r>
        <w:rPr>
          <w:rFonts w:hint="default"/>
          <w:color w:val="auto"/>
          <w:lang w:val="en-US" w:eastAsia="zh-CN"/>
        </w:rPr>
        <w:t>2.4.</w:t>
      </w:r>
      <w:r>
        <w:rPr>
          <w:rFonts w:hint="eastAsia"/>
          <w:color w:val="auto"/>
          <w:lang w:val="en-US" w:eastAsia="zh-CN"/>
        </w:rPr>
        <w:t xml:space="preserve">10 </w:t>
      </w:r>
      <w:r>
        <w:rPr>
          <w:rFonts w:hint="default"/>
          <w:color w:val="auto"/>
          <w:lang w:val="en-US" w:eastAsia="zh-CN"/>
        </w:rPr>
        <w:t>供电系统</w:t>
      </w:r>
      <w:bookmarkEnd w:id="119"/>
      <w:bookmarkEnd w:id="120"/>
      <w:bookmarkEnd w:id="121"/>
    </w:p>
    <w:p w14:paraId="08D9DCA6">
      <w:pPr>
        <w:rPr>
          <w:rFonts w:hint="default"/>
          <w:color w:val="auto"/>
          <w:lang w:val="en-US" w:eastAsia="zh-CN"/>
        </w:rPr>
      </w:pPr>
      <w:r>
        <w:rPr>
          <w:rFonts w:hint="eastAsia"/>
          <w:color w:val="auto"/>
          <w:lang w:val="en-US" w:eastAsia="zh-CN"/>
        </w:rPr>
        <w:t>1. 外部电源</w:t>
      </w:r>
    </w:p>
    <w:p w14:paraId="44F837BA">
      <w:pPr>
        <w:rPr>
          <w:rFonts w:hint="default"/>
          <w:color w:val="auto"/>
          <w:lang w:val="en-US" w:eastAsia="zh-CN"/>
        </w:rPr>
      </w:pPr>
      <w:r>
        <w:rPr>
          <w:rFonts w:hint="default"/>
          <w:color w:val="auto"/>
          <w:lang w:val="en-US" w:eastAsia="zh-CN"/>
        </w:rPr>
        <w:t>德安县聂桥镇刘家山矿区建筑用辉绿岩矿的供电电源来自德安聂桥镇变电所10kV变电站。</w:t>
      </w:r>
    </w:p>
    <w:p w14:paraId="38DA2044">
      <w:pPr>
        <w:rPr>
          <w:rFonts w:hint="default"/>
          <w:color w:val="auto"/>
          <w:lang w:val="en-US" w:eastAsia="zh-CN"/>
        </w:rPr>
      </w:pPr>
      <w:r>
        <w:rPr>
          <w:rFonts w:hint="default"/>
          <w:color w:val="auto"/>
          <w:lang w:val="en-US" w:eastAsia="zh-CN"/>
        </w:rPr>
        <w:t>矿山设有1台S11-M1600/10油浸式变压器和2台S11-M3150/10油浸式变压器供矿山和生产线设备用电，高压侧设置了3PT避雷器，断路器，低压侧设置了短路、过负荷保护。矿山电气设备保护接地系统已形成接地网，变压器中性点和外壳有良好的接地。</w:t>
      </w:r>
    </w:p>
    <w:p w14:paraId="00B9A1B1">
      <w:pPr>
        <w:rPr>
          <w:rFonts w:hint="default"/>
          <w:color w:val="auto"/>
          <w:lang w:val="en-US" w:eastAsia="zh-CN"/>
        </w:rPr>
      </w:pPr>
      <w:r>
        <w:rPr>
          <w:rFonts w:hint="default"/>
          <w:color w:val="auto"/>
          <w:lang w:val="en-US" w:eastAsia="zh-CN"/>
        </w:rPr>
        <w:t>2</w:t>
      </w:r>
      <w:r>
        <w:rPr>
          <w:rFonts w:hint="eastAsia"/>
          <w:color w:val="auto"/>
          <w:lang w:val="en-US" w:eastAsia="zh-CN"/>
        </w:rPr>
        <w:t xml:space="preserve">. </w:t>
      </w:r>
      <w:r>
        <w:rPr>
          <w:rFonts w:hint="default"/>
          <w:color w:val="auto"/>
          <w:lang w:val="en-US" w:eastAsia="zh-CN"/>
        </w:rPr>
        <w:t>供电等级</w:t>
      </w:r>
    </w:p>
    <w:p w14:paraId="74B1963B">
      <w:pPr>
        <w:rPr>
          <w:rFonts w:hint="default"/>
          <w:color w:val="auto"/>
          <w:lang w:val="en-US" w:eastAsia="zh-CN"/>
        </w:rPr>
      </w:pPr>
      <w:r>
        <w:rPr>
          <w:rFonts w:hint="default"/>
          <w:color w:val="auto"/>
          <w:lang w:val="en-US" w:eastAsia="zh-CN"/>
        </w:rPr>
        <w:t>高压电源电压</w:t>
      </w:r>
      <w:r>
        <w:rPr>
          <w:rFonts w:hint="eastAsia"/>
          <w:color w:val="auto"/>
          <w:lang w:val="en-US" w:eastAsia="zh-CN"/>
        </w:rPr>
        <w:t>：</w:t>
      </w:r>
      <w:r>
        <w:rPr>
          <w:rFonts w:hint="default"/>
          <w:color w:val="auto"/>
          <w:lang w:val="en-US" w:eastAsia="zh-CN"/>
        </w:rPr>
        <w:t>10</w:t>
      </w:r>
      <w:r>
        <w:rPr>
          <w:rFonts w:hint="eastAsia"/>
          <w:color w:val="auto"/>
          <w:lang w:val="en-US" w:eastAsia="zh-CN"/>
        </w:rPr>
        <w:t>k</w:t>
      </w:r>
      <w:r>
        <w:rPr>
          <w:rFonts w:hint="default"/>
          <w:color w:val="auto"/>
          <w:lang w:val="en-US" w:eastAsia="zh-CN"/>
        </w:rPr>
        <w:t>V</w:t>
      </w:r>
      <w:r>
        <w:rPr>
          <w:rFonts w:hint="eastAsia"/>
          <w:color w:val="auto"/>
          <w:lang w:val="en-US" w:eastAsia="zh-CN"/>
        </w:rPr>
        <w:t>；</w:t>
      </w:r>
    </w:p>
    <w:p w14:paraId="1799EF29">
      <w:pPr>
        <w:rPr>
          <w:rFonts w:hint="default"/>
          <w:color w:val="auto"/>
          <w:lang w:val="en-US" w:eastAsia="zh-CN"/>
        </w:rPr>
      </w:pPr>
      <w:r>
        <w:rPr>
          <w:rFonts w:hint="default"/>
          <w:color w:val="auto"/>
          <w:lang w:val="en-US" w:eastAsia="zh-CN"/>
        </w:rPr>
        <w:t>地面用电设备电压</w:t>
      </w:r>
      <w:r>
        <w:rPr>
          <w:rFonts w:hint="eastAsia"/>
          <w:color w:val="auto"/>
          <w:lang w:val="en-US" w:eastAsia="zh-CN"/>
        </w:rPr>
        <w:t>：</w:t>
      </w:r>
      <w:r>
        <w:rPr>
          <w:rFonts w:hint="default"/>
          <w:color w:val="auto"/>
          <w:lang w:val="en-US" w:eastAsia="zh-CN"/>
        </w:rPr>
        <w:t>380V/220V</w:t>
      </w:r>
      <w:r>
        <w:rPr>
          <w:rFonts w:hint="eastAsia"/>
          <w:color w:val="auto"/>
          <w:lang w:val="en-US" w:eastAsia="zh-CN"/>
        </w:rPr>
        <w:t>；</w:t>
      </w:r>
    </w:p>
    <w:p w14:paraId="36876594">
      <w:pPr>
        <w:rPr>
          <w:rFonts w:hint="default"/>
          <w:color w:val="auto"/>
          <w:lang w:val="en-US" w:eastAsia="zh-CN"/>
        </w:rPr>
      </w:pPr>
      <w:r>
        <w:rPr>
          <w:rFonts w:hint="default"/>
          <w:color w:val="auto"/>
          <w:lang w:val="en-US" w:eastAsia="zh-CN"/>
        </w:rPr>
        <w:t>办公及照明电压</w:t>
      </w:r>
      <w:r>
        <w:rPr>
          <w:rFonts w:hint="eastAsia"/>
          <w:color w:val="auto"/>
          <w:lang w:val="en-US" w:eastAsia="zh-CN"/>
        </w:rPr>
        <w:t>：</w:t>
      </w:r>
      <w:r>
        <w:rPr>
          <w:rFonts w:hint="default"/>
          <w:color w:val="auto"/>
          <w:lang w:val="en-US" w:eastAsia="zh-CN"/>
        </w:rPr>
        <w:t>220V。</w:t>
      </w:r>
    </w:p>
    <w:p w14:paraId="5BD799E9">
      <w:pPr>
        <w:rPr>
          <w:rFonts w:hint="default"/>
          <w:color w:val="auto"/>
          <w:lang w:val="en-US" w:eastAsia="zh-CN"/>
        </w:rPr>
      </w:pPr>
      <w:r>
        <w:rPr>
          <w:rFonts w:hint="eastAsia"/>
          <w:color w:val="auto"/>
          <w:lang w:val="en-US" w:eastAsia="zh-CN"/>
        </w:rPr>
        <w:t>3. 防雷及接地</w:t>
      </w:r>
    </w:p>
    <w:p w14:paraId="64269228">
      <w:pPr>
        <w:rPr>
          <w:rFonts w:hint="default"/>
          <w:color w:val="auto"/>
          <w:lang w:val="en-US" w:eastAsia="zh-CN"/>
        </w:rPr>
      </w:pPr>
      <w:r>
        <w:rPr>
          <w:rFonts w:hint="default"/>
          <w:color w:val="auto"/>
          <w:lang w:val="en-US" w:eastAsia="zh-CN"/>
        </w:rPr>
        <w:t>地面供电系统为TN</w:t>
      </w:r>
      <w:r>
        <w:rPr>
          <w:rFonts w:hint="eastAsia" w:ascii="宋体" w:hAnsi="宋体" w:eastAsia="宋体" w:cs="宋体"/>
          <w:color w:val="auto"/>
          <w:lang w:val="en-US" w:eastAsia="zh-CN"/>
        </w:rPr>
        <w:t>-</w:t>
      </w:r>
      <w:r>
        <w:rPr>
          <w:rFonts w:hint="default"/>
          <w:color w:val="auto"/>
          <w:lang w:val="en-US" w:eastAsia="zh-CN"/>
        </w:rPr>
        <w:t>C</w:t>
      </w:r>
      <w:r>
        <w:rPr>
          <w:rFonts w:hint="eastAsia" w:ascii="宋体" w:hAnsi="宋体" w:eastAsia="宋体" w:cs="宋体"/>
          <w:color w:val="auto"/>
          <w:lang w:val="en-US" w:eastAsia="zh-CN"/>
        </w:rPr>
        <w:t>-</w:t>
      </w:r>
      <w:r>
        <w:rPr>
          <w:rFonts w:hint="default"/>
          <w:color w:val="auto"/>
          <w:lang w:val="en-US" w:eastAsia="zh-CN"/>
        </w:rPr>
        <w:t>S方式供电系统。供电设备外壳、配电柜外壳可靠接地，接地电阻符合要求。</w:t>
      </w:r>
    </w:p>
    <w:p w14:paraId="553937C5">
      <w:pPr>
        <w:rPr>
          <w:rFonts w:hint="default"/>
          <w:color w:val="auto"/>
          <w:lang w:val="en-US" w:eastAsia="zh-CN"/>
        </w:rPr>
      </w:pPr>
      <w:r>
        <w:rPr>
          <w:rFonts w:hint="default"/>
          <w:color w:val="auto"/>
          <w:lang w:val="en-US" w:eastAsia="zh-CN"/>
        </w:rPr>
        <w:t>矿山变压器装有防雷装置和接地装置，符合规程规定。</w:t>
      </w:r>
    </w:p>
    <w:p w14:paraId="42C66279">
      <w:pPr>
        <w:rPr>
          <w:rFonts w:hint="default"/>
          <w:color w:val="auto"/>
          <w:lang w:val="en-US" w:eastAsia="zh-CN"/>
        </w:rPr>
      </w:pPr>
      <w:r>
        <w:rPr>
          <w:rFonts w:hint="default"/>
          <w:color w:val="auto"/>
          <w:lang w:val="en-US" w:eastAsia="zh-CN"/>
        </w:rPr>
        <w:t>通过多年来的生产实践，矿山变压器的装机容量，能满足破碎机、压风机、办公生活等供电要求。</w:t>
      </w:r>
    </w:p>
    <w:p w14:paraId="450A4B6D">
      <w:pPr>
        <w:rPr>
          <w:rFonts w:hint="default"/>
          <w:color w:val="auto"/>
          <w:lang w:val="en-US" w:eastAsia="zh-CN"/>
        </w:rPr>
      </w:pPr>
      <w:r>
        <w:rPr>
          <w:rFonts w:hint="default"/>
          <w:color w:val="auto"/>
          <w:lang w:val="en-US" w:eastAsia="zh-CN"/>
        </w:rPr>
        <w:t>配电室</w:t>
      </w:r>
      <w:r>
        <w:rPr>
          <w:rFonts w:hint="eastAsia"/>
          <w:color w:val="auto"/>
          <w:lang w:val="en-US" w:eastAsia="zh-CN"/>
        </w:rPr>
        <w:t>已</w:t>
      </w:r>
      <w:r>
        <w:rPr>
          <w:rFonts w:hint="default"/>
          <w:color w:val="auto"/>
          <w:lang w:val="en-US" w:eastAsia="zh-CN"/>
        </w:rPr>
        <w:t>设置防火门</w:t>
      </w:r>
      <w:r>
        <w:rPr>
          <w:rFonts w:hint="eastAsia"/>
          <w:color w:val="auto"/>
          <w:lang w:val="en-US" w:eastAsia="zh-CN"/>
        </w:rPr>
        <w:t>（</w:t>
      </w:r>
      <w:r>
        <w:rPr>
          <w:rFonts w:hint="default"/>
          <w:color w:val="auto"/>
          <w:lang w:val="en-US" w:eastAsia="zh-CN"/>
        </w:rPr>
        <w:t>向疏散方向开启</w:t>
      </w:r>
      <w:r>
        <w:rPr>
          <w:rFonts w:hint="eastAsia"/>
          <w:color w:val="auto"/>
          <w:lang w:val="en-US" w:eastAsia="zh-CN"/>
        </w:rPr>
        <w:t>）、挡鼠板</w:t>
      </w:r>
      <w:r>
        <w:rPr>
          <w:rFonts w:hint="default"/>
          <w:color w:val="auto"/>
          <w:lang w:val="en-US" w:eastAsia="zh-CN"/>
        </w:rPr>
        <w:t>，配电室及控制室</w:t>
      </w:r>
      <w:r>
        <w:rPr>
          <w:rFonts w:hint="eastAsia"/>
          <w:color w:val="auto"/>
          <w:lang w:val="en-US" w:eastAsia="zh-CN"/>
        </w:rPr>
        <w:t>内</w:t>
      </w:r>
      <w:r>
        <w:rPr>
          <w:rFonts w:hint="default"/>
          <w:color w:val="auto"/>
          <w:lang w:val="en-US" w:eastAsia="zh-CN"/>
        </w:rPr>
        <w:t>配置</w:t>
      </w:r>
      <w:r>
        <w:rPr>
          <w:rFonts w:hint="eastAsia"/>
          <w:color w:val="auto"/>
          <w:lang w:val="en-US" w:eastAsia="zh-CN"/>
        </w:rPr>
        <w:t>有</w:t>
      </w:r>
      <w:r>
        <w:rPr>
          <w:rFonts w:hint="default"/>
          <w:color w:val="auto"/>
          <w:lang w:val="en-US" w:eastAsia="zh-CN"/>
        </w:rPr>
        <w:t>干粉灭火器，但未设置应急照明设施。配电室张贴了安全操作规程及安全警示标牌等，无电气设备维修、运行记录本。建议在配电房现场存放运行记录本、维护保养记录本等。</w:t>
      </w:r>
    </w:p>
    <w:p w14:paraId="22ECB9A6">
      <w:pPr>
        <w:rPr>
          <w:rFonts w:hint="default"/>
          <w:color w:val="auto"/>
          <w:lang w:val="en-US" w:eastAsia="zh-CN"/>
        </w:rPr>
      </w:pPr>
      <w:r>
        <w:rPr>
          <w:rFonts w:hint="eastAsia"/>
          <w:color w:val="auto"/>
          <w:lang w:val="en-US" w:eastAsia="zh-CN"/>
        </w:rPr>
        <w:t>4. 用电设备</w:t>
      </w:r>
    </w:p>
    <w:p w14:paraId="2E19D62A">
      <w:pPr>
        <w:rPr>
          <w:rFonts w:hint="default"/>
          <w:color w:val="auto"/>
          <w:lang w:val="en-US" w:eastAsia="zh-CN"/>
        </w:rPr>
      </w:pPr>
      <w:r>
        <w:rPr>
          <w:rFonts w:hint="eastAsia"/>
          <w:color w:val="auto"/>
          <w:lang w:val="en-US" w:eastAsia="zh-CN"/>
        </w:rPr>
        <w:t>目前采场内无用电设备。采场内设置了太阳能路灯。高位水池内设有3台水泵（37kW），但高位水池布置在采场之外。由于目前行情不好，企业当前为单班作业。</w:t>
      </w:r>
    </w:p>
    <w:p w14:paraId="17548532">
      <w:pPr>
        <w:bidi w:val="0"/>
        <w:rPr>
          <w:rFonts w:hint="default"/>
          <w:color w:val="auto"/>
          <w:lang w:val="en-US" w:eastAsia="zh-CN"/>
        </w:rPr>
      </w:pPr>
      <w:r>
        <w:rPr>
          <w:rFonts w:hint="eastAsia"/>
          <w:color w:val="auto"/>
          <w:lang w:val="en-US" w:eastAsia="zh-CN"/>
        </w:rPr>
        <w:t>5. 安全检测情况</w:t>
      </w:r>
    </w:p>
    <w:p w14:paraId="2F56B488">
      <w:pPr>
        <w:bidi w:val="0"/>
        <w:rPr>
          <w:rFonts w:hint="default"/>
          <w:color w:val="auto"/>
          <w:lang w:val="en-US" w:eastAsia="zh-CN"/>
        </w:rPr>
      </w:pPr>
      <w:r>
        <w:rPr>
          <w:rFonts w:hint="default"/>
          <w:color w:val="auto"/>
          <w:lang w:val="en-US" w:eastAsia="zh-CN"/>
        </w:rPr>
        <w:t>江西省坤育矿业有限公司</w:t>
      </w:r>
      <w:r>
        <w:rPr>
          <w:rFonts w:hint="eastAsia"/>
          <w:color w:val="auto"/>
          <w:lang w:val="en-US" w:eastAsia="zh-CN"/>
        </w:rPr>
        <w:t>委托江西省矿检安全科技有限公司对德安县聂桥镇刘家山矿区建筑用辉绿岩矿目前在用的1台油浸式电力变压器（S11-M-3150/10）、接地电阻进行了检测，并于2025年7月9日出具了安全检测检验报告，检测结果为合格。</w:t>
      </w:r>
    </w:p>
    <w:p w14:paraId="0EC21A85">
      <w:pPr>
        <w:pStyle w:val="4"/>
        <w:bidi w:val="0"/>
        <w:rPr>
          <w:rFonts w:hint="default"/>
          <w:color w:val="auto"/>
          <w:lang w:val="en-US" w:eastAsia="zh-CN"/>
        </w:rPr>
      </w:pPr>
      <w:bookmarkStart w:id="122" w:name="_Toc6714"/>
      <w:bookmarkStart w:id="123" w:name="_Toc1384"/>
      <w:bookmarkStart w:id="124" w:name="_Toc195"/>
      <w:r>
        <w:rPr>
          <w:rFonts w:hint="default"/>
          <w:color w:val="auto"/>
          <w:lang w:val="en-US" w:eastAsia="zh-CN"/>
        </w:rPr>
        <w:t>2.4.</w:t>
      </w:r>
      <w:r>
        <w:rPr>
          <w:rFonts w:hint="eastAsia"/>
          <w:color w:val="auto"/>
          <w:lang w:val="en-US" w:eastAsia="zh-CN"/>
        </w:rPr>
        <w:t xml:space="preserve">11 </w:t>
      </w:r>
      <w:r>
        <w:rPr>
          <w:rFonts w:hint="default"/>
          <w:color w:val="auto"/>
          <w:lang w:val="en-US" w:eastAsia="zh-CN"/>
        </w:rPr>
        <w:t>压风系统</w:t>
      </w:r>
      <w:bookmarkEnd w:id="122"/>
      <w:bookmarkEnd w:id="123"/>
      <w:bookmarkEnd w:id="124"/>
    </w:p>
    <w:p w14:paraId="090204B3">
      <w:pPr>
        <w:rPr>
          <w:rFonts w:hint="default"/>
          <w:color w:val="auto"/>
          <w:lang w:val="en-US" w:eastAsia="zh-CN"/>
        </w:rPr>
      </w:pPr>
      <w:r>
        <w:rPr>
          <w:rFonts w:hint="default"/>
          <w:color w:val="auto"/>
          <w:lang w:val="en-US" w:eastAsia="zh-CN"/>
        </w:rPr>
        <w:t>矿山采用全液压履带式露天钻机凿岩，潜孔钻机自带柴油发电机组及空压机，能够满足矿山生产凿岩供风需要。</w:t>
      </w:r>
    </w:p>
    <w:p w14:paraId="36F3A17B">
      <w:pPr>
        <w:pStyle w:val="4"/>
        <w:bidi w:val="0"/>
        <w:rPr>
          <w:rFonts w:hint="default"/>
          <w:color w:val="auto"/>
          <w:lang w:val="en-US" w:eastAsia="zh-CN"/>
        </w:rPr>
      </w:pPr>
      <w:bookmarkStart w:id="125" w:name="_Toc478"/>
      <w:bookmarkStart w:id="126" w:name="_Toc25254"/>
      <w:bookmarkStart w:id="127" w:name="_Toc9890"/>
      <w:r>
        <w:rPr>
          <w:rFonts w:hint="default"/>
          <w:color w:val="auto"/>
          <w:lang w:val="en-US" w:eastAsia="zh-CN"/>
        </w:rPr>
        <w:t>2.4.1</w:t>
      </w:r>
      <w:r>
        <w:rPr>
          <w:rFonts w:hint="eastAsia"/>
          <w:color w:val="auto"/>
          <w:lang w:val="en-US" w:eastAsia="zh-CN"/>
        </w:rPr>
        <w:t>2</w:t>
      </w:r>
      <w:r>
        <w:rPr>
          <w:rFonts w:hint="default"/>
          <w:color w:val="auto"/>
          <w:lang w:val="en-US" w:eastAsia="zh-CN"/>
        </w:rPr>
        <w:t xml:space="preserve"> 排土场</w:t>
      </w:r>
      <w:bookmarkEnd w:id="125"/>
      <w:bookmarkEnd w:id="126"/>
      <w:bookmarkEnd w:id="127"/>
    </w:p>
    <w:p w14:paraId="0BB60077">
      <w:pPr>
        <w:rPr>
          <w:rFonts w:hint="default"/>
          <w:color w:val="auto"/>
          <w:lang w:val="en-US" w:eastAsia="zh-CN"/>
        </w:rPr>
      </w:pPr>
      <w:r>
        <w:rPr>
          <w:rFonts w:hint="default"/>
          <w:color w:val="auto"/>
          <w:lang w:val="en-US" w:eastAsia="zh-CN"/>
        </w:rPr>
        <w:t>矿山在基建中实际已剥离量为32.5万m</w:t>
      </w:r>
      <w:r>
        <w:rPr>
          <w:rFonts w:hint="eastAsia"/>
          <w:color w:val="auto"/>
          <w:vertAlign w:val="superscript"/>
          <w:lang w:val="en-US" w:eastAsia="zh-CN"/>
        </w:rPr>
        <w:t>3</w:t>
      </w:r>
      <w:r>
        <w:rPr>
          <w:rFonts w:hint="default"/>
          <w:color w:val="auto"/>
          <w:lang w:val="en-US" w:eastAsia="zh-CN"/>
        </w:rPr>
        <w:t>，都用于基建平整场地和修路了，剩余剥离量12.85万m</w:t>
      </w:r>
      <w:r>
        <w:rPr>
          <w:rFonts w:hint="eastAsia"/>
          <w:color w:val="auto"/>
          <w:vertAlign w:val="superscript"/>
          <w:lang w:val="en-US" w:eastAsia="zh-CN"/>
        </w:rPr>
        <w:t>3</w:t>
      </w:r>
      <w:r>
        <w:rPr>
          <w:rFonts w:hint="default"/>
          <w:color w:val="auto"/>
          <w:lang w:val="en-US" w:eastAsia="zh-CN"/>
        </w:rPr>
        <w:t>，由于绿色矿山建设要求对矿山靠帮的台阶及道路进行动态复垦，每年需消耗1.5万m</w:t>
      </w:r>
      <w:r>
        <w:rPr>
          <w:rFonts w:hint="eastAsia"/>
          <w:color w:val="auto"/>
          <w:vertAlign w:val="superscript"/>
          <w:lang w:val="en-US" w:eastAsia="zh-CN"/>
        </w:rPr>
        <w:t>3</w:t>
      </w:r>
      <w:r>
        <w:rPr>
          <w:rFonts w:hint="default"/>
          <w:color w:val="auto"/>
          <w:lang w:val="en-US" w:eastAsia="zh-CN"/>
        </w:rPr>
        <w:t>，故后期每年剥离量与消耗量可以做到平衡，企业委托设计单位取消永久排土场，设置临时堆场</w:t>
      </w:r>
      <w:r>
        <w:rPr>
          <w:rFonts w:hint="eastAsia"/>
          <w:color w:val="auto"/>
          <w:lang w:val="en-US" w:eastAsia="zh-CN"/>
        </w:rPr>
        <w:t>。</w:t>
      </w:r>
      <w:r>
        <w:rPr>
          <w:rFonts w:hint="default"/>
          <w:color w:val="auto"/>
          <w:lang w:val="en-US" w:eastAsia="zh-CN"/>
        </w:rPr>
        <w:t>经设计单位验证，将原设计的排土场取消，在矿区西侧设置临时排土堆场，后期由于矿山在生产过程中每年剥离量均完全消耗，故矿山未设置临时排土堆场。</w:t>
      </w:r>
    </w:p>
    <w:p w14:paraId="5A927946">
      <w:pPr>
        <w:pStyle w:val="4"/>
        <w:bidi w:val="0"/>
        <w:rPr>
          <w:rFonts w:hint="default"/>
          <w:color w:val="auto"/>
          <w:lang w:val="en-US" w:eastAsia="zh-CN"/>
        </w:rPr>
      </w:pPr>
      <w:bookmarkStart w:id="128" w:name="_Toc30589"/>
      <w:bookmarkStart w:id="129" w:name="_Toc8982"/>
      <w:bookmarkStart w:id="130" w:name="_Toc6362"/>
      <w:r>
        <w:rPr>
          <w:rFonts w:hint="default"/>
          <w:color w:val="auto"/>
          <w:lang w:val="en-US" w:eastAsia="zh-CN"/>
        </w:rPr>
        <w:t>2.4.1</w:t>
      </w:r>
      <w:r>
        <w:rPr>
          <w:rFonts w:hint="eastAsia"/>
          <w:color w:val="auto"/>
          <w:lang w:val="en-US" w:eastAsia="zh-CN"/>
        </w:rPr>
        <w:t>3</w:t>
      </w:r>
      <w:r>
        <w:rPr>
          <w:rFonts w:hint="default"/>
          <w:color w:val="auto"/>
          <w:lang w:val="en-US" w:eastAsia="zh-CN"/>
        </w:rPr>
        <w:t xml:space="preserve"> 边坡稳定性分析</w:t>
      </w:r>
      <w:bookmarkEnd w:id="128"/>
      <w:bookmarkEnd w:id="129"/>
      <w:bookmarkEnd w:id="130"/>
    </w:p>
    <w:p w14:paraId="24D08038">
      <w:pPr>
        <w:rPr>
          <w:rFonts w:hint="eastAsia"/>
          <w:color w:val="auto"/>
          <w:lang w:val="en-US" w:eastAsia="zh-CN"/>
        </w:rPr>
      </w:pPr>
      <w:r>
        <w:rPr>
          <w:rFonts w:hint="default"/>
          <w:color w:val="auto"/>
          <w:lang w:val="en-US" w:eastAsia="zh-CN"/>
        </w:rPr>
        <w:t>本节内容主要摘自202</w:t>
      </w:r>
      <w:r>
        <w:rPr>
          <w:rFonts w:hint="eastAsia"/>
          <w:color w:val="auto"/>
          <w:lang w:val="en-US" w:eastAsia="zh-CN"/>
        </w:rPr>
        <w:t>5</w:t>
      </w:r>
      <w:r>
        <w:rPr>
          <w:rFonts w:hint="default"/>
          <w:color w:val="auto"/>
          <w:lang w:val="en-US" w:eastAsia="zh-CN"/>
        </w:rPr>
        <w:t>年</w:t>
      </w:r>
      <w:r>
        <w:rPr>
          <w:rFonts w:hint="eastAsia"/>
          <w:color w:val="auto"/>
          <w:lang w:val="en-US" w:eastAsia="zh-CN"/>
        </w:rPr>
        <w:t>1</w:t>
      </w:r>
      <w:r>
        <w:rPr>
          <w:rFonts w:hint="default"/>
          <w:color w:val="auto"/>
          <w:lang w:val="en-US" w:eastAsia="zh-CN"/>
        </w:rPr>
        <w:t>月江西九勘地质工程技术有限公司</w:t>
      </w:r>
      <w:r>
        <w:rPr>
          <w:rFonts w:hint="eastAsia"/>
          <w:color w:val="auto"/>
          <w:lang w:val="en-US" w:eastAsia="zh-CN"/>
        </w:rPr>
        <w:t>的</w:t>
      </w:r>
      <w:r>
        <w:rPr>
          <w:rFonts w:hint="default"/>
          <w:color w:val="auto"/>
          <w:lang w:val="en-US" w:eastAsia="zh-CN"/>
        </w:rPr>
        <w:t>《德安县聂桥镇刘家山矿区建筑用辉绿岩矿露采边坡稳定性分析报告》</w:t>
      </w:r>
      <w:r>
        <w:rPr>
          <w:rFonts w:hint="eastAsia"/>
          <w:color w:val="auto"/>
          <w:lang w:val="en-US" w:eastAsia="zh-CN"/>
        </w:rPr>
        <w:t>。</w:t>
      </w:r>
    </w:p>
    <w:p w14:paraId="3D254A0A">
      <w:pPr>
        <w:numPr>
          <w:ilvl w:val="0"/>
          <w:numId w:val="0"/>
        </w:numPr>
        <w:ind w:firstLine="560" w:firstLineChars="200"/>
        <w:rPr>
          <w:rFonts w:hint="default"/>
          <w:color w:val="auto"/>
          <w:lang w:val="en-US" w:eastAsia="zh-CN"/>
        </w:rPr>
      </w:pPr>
      <w:r>
        <w:rPr>
          <w:rFonts w:hint="default" w:ascii="Times New Roman" w:hAnsi="Times New Roman" w:eastAsia="宋体" w:cs="Times New Roman"/>
          <w:color w:val="auto"/>
          <w:kern w:val="2"/>
          <w:sz w:val="28"/>
          <w:szCs w:val="24"/>
          <w:lang w:val="en-US" w:eastAsia="zh-CN" w:bidi="ar-SA"/>
        </w:rPr>
        <w:t>1.</w:t>
      </w:r>
      <w:r>
        <w:rPr>
          <w:rFonts w:hint="eastAsia" w:cs="Times New Roman"/>
          <w:color w:val="auto"/>
          <w:kern w:val="2"/>
          <w:sz w:val="28"/>
          <w:szCs w:val="24"/>
          <w:lang w:val="en-US" w:eastAsia="zh-CN" w:bidi="ar-SA"/>
        </w:rPr>
        <w:t xml:space="preserve"> </w:t>
      </w:r>
      <w:r>
        <w:rPr>
          <w:rFonts w:hint="eastAsia"/>
          <w:color w:val="auto"/>
          <w:lang w:val="en-US" w:eastAsia="zh-CN"/>
        </w:rPr>
        <w:t>计算工况</w:t>
      </w:r>
    </w:p>
    <w:p w14:paraId="4FAF7AE6">
      <w:pPr>
        <w:rPr>
          <w:rFonts w:hint="default"/>
          <w:color w:val="auto"/>
          <w:lang w:val="en-US" w:eastAsia="zh-CN"/>
        </w:rPr>
      </w:pPr>
      <w:r>
        <w:rPr>
          <w:rFonts w:hint="default"/>
          <w:color w:val="auto"/>
          <w:lang w:val="en-US" w:eastAsia="zh-CN"/>
        </w:rPr>
        <w:t>根据《中国地震动参数区划图》（GB18306-2015）和《场地特征周期区划图》，本排土场所处位于</w:t>
      </w:r>
      <w:r>
        <w:rPr>
          <w:rFonts w:hint="eastAsia" w:ascii="宋体" w:hAnsi="宋体" w:eastAsia="宋体" w:cs="宋体"/>
          <w:color w:val="auto"/>
          <w:lang w:val="en-US" w:eastAsia="zh-CN"/>
        </w:rPr>
        <w:t>Ⅵ</w:t>
      </w:r>
      <w:r>
        <w:rPr>
          <w:rFonts w:hint="default"/>
          <w:color w:val="auto"/>
          <w:lang w:val="en-US" w:eastAsia="zh-CN"/>
        </w:rPr>
        <w:t>度烈度区，可不考虑地震条件下对边坡稳定性影响。</w:t>
      </w:r>
    </w:p>
    <w:p w14:paraId="054E079E">
      <w:pPr>
        <w:rPr>
          <w:rFonts w:hint="default"/>
          <w:color w:val="auto"/>
          <w:lang w:val="en-US" w:eastAsia="zh-CN"/>
        </w:rPr>
      </w:pPr>
      <w:r>
        <w:rPr>
          <w:rFonts w:hint="default"/>
          <w:color w:val="auto"/>
          <w:lang w:val="en-US" w:eastAsia="zh-CN"/>
        </w:rPr>
        <w:t>根据区域调查查明的工程地质环境条件，综合确定其开采边坡稳定性及其破坏的主要影响因素，对稳定性和变形破坏起主要作用的影响因素为边坡岩土体的物理力学性质以及降雨条件。故选取以下两种工况进行边坡的稳定性分析。</w:t>
      </w:r>
    </w:p>
    <w:p w14:paraId="7A20DED0">
      <w:pPr>
        <w:rPr>
          <w:rFonts w:hint="default"/>
          <w:color w:val="auto"/>
          <w:lang w:val="en-US" w:eastAsia="zh-CN"/>
        </w:rPr>
      </w:pPr>
      <w:r>
        <w:rPr>
          <w:rFonts w:hint="default"/>
          <w:color w:val="auto"/>
          <w:lang w:val="en-US" w:eastAsia="zh-CN"/>
        </w:rPr>
        <w:t>（1）自重＋地下水+爆破振动力（荷载组合</w:t>
      </w:r>
      <w:r>
        <w:rPr>
          <w:rFonts w:hint="eastAsia" w:ascii="宋体" w:hAnsi="宋体" w:eastAsia="宋体" w:cs="宋体"/>
          <w:color w:val="auto"/>
          <w:lang w:val="en-US" w:eastAsia="zh-CN"/>
        </w:rPr>
        <w:t>Ⅱ</w:t>
      </w:r>
      <w:r>
        <w:rPr>
          <w:rFonts w:hint="default"/>
          <w:color w:val="auto"/>
          <w:lang w:val="en-US" w:eastAsia="zh-CN"/>
        </w:rPr>
        <w:t>）：坡体的稳定性应能抵抗暴雨工况和爆破振动力，考虑开采边坡处于暴雨或连续暴雨，视坡体处于饱水状态以及在爆破振动的情况下，对暴雨工况下岩体容重增加，粘聚力、内摩擦角减小的边坡进行稳定性分析计算。</w:t>
      </w:r>
    </w:p>
    <w:p w14:paraId="091F47C8">
      <w:pPr>
        <w:rPr>
          <w:rFonts w:hint="default"/>
          <w:color w:val="auto"/>
          <w:lang w:val="en-US" w:eastAsia="zh-CN"/>
        </w:rPr>
      </w:pPr>
      <w:r>
        <w:rPr>
          <w:rFonts w:hint="default"/>
          <w:color w:val="auto"/>
          <w:lang w:val="en-US" w:eastAsia="zh-CN"/>
        </w:rPr>
        <w:t>（2）自重＋地下水（荷载组合</w:t>
      </w:r>
      <w:r>
        <w:rPr>
          <w:rFonts w:hint="eastAsia" w:ascii="宋体" w:hAnsi="宋体" w:eastAsia="宋体" w:cs="宋体"/>
          <w:color w:val="auto"/>
          <w:lang w:val="en-US" w:eastAsia="zh-CN"/>
        </w:rPr>
        <w:t>Ⅰ</w:t>
      </w:r>
      <w:r>
        <w:rPr>
          <w:rFonts w:hint="default"/>
          <w:color w:val="auto"/>
          <w:lang w:val="en-US" w:eastAsia="zh-CN"/>
        </w:rPr>
        <w:t>）：坡体的稳定性应能抵抗暴雨工况，考虑开采边坡处于暴雨或连续暴雨，视坡体处于饱水状态，对暴雨工况下岩体容重增加，粘聚力、内摩擦角减小的边坡进行稳定性分析计算。</w:t>
      </w:r>
    </w:p>
    <w:p w14:paraId="7AB8C5F7">
      <w:pPr>
        <w:rPr>
          <w:rFonts w:hint="default"/>
          <w:color w:val="auto"/>
          <w:lang w:val="en-US" w:eastAsia="zh-CN"/>
        </w:rPr>
      </w:pPr>
      <w:r>
        <w:rPr>
          <w:rFonts w:hint="eastAsia" w:cs="Times New Roman"/>
          <w:color w:val="auto"/>
          <w:kern w:val="2"/>
          <w:sz w:val="28"/>
          <w:szCs w:val="24"/>
          <w:lang w:val="en-US" w:eastAsia="zh-CN" w:bidi="ar-SA"/>
        </w:rPr>
        <w:t>2</w:t>
      </w:r>
      <w:r>
        <w:rPr>
          <w:rFonts w:hint="default" w:ascii="Times New Roman" w:hAnsi="Times New Roman" w:eastAsia="宋体" w:cs="Times New Roman"/>
          <w:color w:val="auto"/>
          <w:kern w:val="2"/>
          <w:sz w:val="28"/>
          <w:szCs w:val="24"/>
          <w:lang w:val="en-US" w:eastAsia="zh-CN" w:bidi="ar-SA"/>
        </w:rPr>
        <w:t>.</w:t>
      </w:r>
      <w:r>
        <w:rPr>
          <w:rFonts w:hint="eastAsia" w:cs="Times New Roman"/>
          <w:color w:val="auto"/>
          <w:kern w:val="2"/>
          <w:sz w:val="28"/>
          <w:szCs w:val="24"/>
          <w:lang w:val="en-US" w:eastAsia="zh-CN" w:bidi="ar-SA"/>
        </w:rPr>
        <w:t xml:space="preserve"> </w:t>
      </w:r>
      <w:r>
        <w:rPr>
          <w:rFonts w:hint="default"/>
          <w:color w:val="auto"/>
          <w:lang w:val="en-US" w:eastAsia="zh-CN"/>
        </w:rPr>
        <w:t>控制标准</w:t>
      </w:r>
    </w:p>
    <w:p w14:paraId="6614EA98">
      <w:pPr>
        <w:rPr>
          <w:rFonts w:hint="default"/>
          <w:color w:val="auto"/>
          <w:lang w:val="en-US" w:eastAsia="zh-CN"/>
        </w:rPr>
      </w:pPr>
      <w:r>
        <w:rPr>
          <w:rFonts w:hint="default"/>
          <w:color w:val="auto"/>
          <w:lang w:val="en-US" w:eastAsia="zh-CN"/>
        </w:rPr>
        <w:t>《非煤露天矿边坡工程技术规范》（GB51016-2014），边坡稳定性安全系数不应小于表</w:t>
      </w:r>
      <w:r>
        <w:rPr>
          <w:rFonts w:hint="eastAsia"/>
          <w:color w:val="auto"/>
          <w:lang w:val="en-US" w:eastAsia="zh-CN"/>
        </w:rPr>
        <w:t>2.4-2</w:t>
      </w:r>
      <w:r>
        <w:rPr>
          <w:rFonts w:hint="default"/>
          <w:color w:val="auto"/>
          <w:lang w:val="en-US" w:eastAsia="zh-CN"/>
        </w:rPr>
        <w:t>规定的数值。</w:t>
      </w:r>
    </w:p>
    <w:p w14:paraId="23C89E02">
      <w:pPr>
        <w:ind w:left="0" w:leftChars="0" w:firstLine="0" w:firstLineChars="0"/>
        <w:jc w:val="center"/>
        <w:rPr>
          <w:rFonts w:hint="eastAsia"/>
          <w:color w:val="auto"/>
          <w:lang w:val="en-US" w:eastAsia="zh-CN"/>
        </w:rPr>
      </w:pPr>
      <w:r>
        <w:rPr>
          <w:rFonts w:hint="default"/>
          <w:color w:val="auto"/>
          <w:lang w:val="en-US" w:eastAsia="zh-CN"/>
        </w:rPr>
        <w:t>表</w:t>
      </w:r>
      <w:r>
        <w:rPr>
          <w:rFonts w:hint="eastAsia"/>
          <w:color w:val="auto"/>
          <w:lang w:val="en-US" w:eastAsia="zh-CN"/>
        </w:rPr>
        <w:t>2.4-2 不同荷载组合下总体边坡的设计安全系数</w:t>
      </w:r>
    </w:p>
    <w:tbl>
      <w:tblPr>
        <w:tblStyle w:val="19"/>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91"/>
        <w:gridCol w:w="2306"/>
        <w:gridCol w:w="2341"/>
        <w:gridCol w:w="2343"/>
      </w:tblGrid>
      <w:tr w14:paraId="0EF6BA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234" w:type="pct"/>
            <w:vMerge w:val="restart"/>
            <w:noWrap w:val="0"/>
            <w:vAlign w:val="center"/>
          </w:tcPr>
          <w:p w14:paraId="3CCFAEC7">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right="0" w:firstLine="0" w:firstLineChars="0"/>
              <w:jc w:val="center"/>
              <w:textAlignment w:val="auto"/>
              <w:outlineLvl w:val="9"/>
              <w:rPr>
                <w:rFonts w:hint="eastAsia" w:cs="Times New Roman"/>
                <w:b/>
                <w:bCs/>
                <w:color w:val="auto"/>
                <w:kern w:val="2"/>
                <w:sz w:val="21"/>
                <w:szCs w:val="21"/>
                <w:lang w:val="en-US" w:eastAsia="zh-CN"/>
              </w:rPr>
            </w:pPr>
            <w:r>
              <w:rPr>
                <w:rFonts w:hint="eastAsia" w:cs="Times New Roman"/>
                <w:b/>
                <w:bCs/>
                <w:color w:val="auto"/>
                <w:kern w:val="2"/>
                <w:sz w:val="21"/>
                <w:szCs w:val="21"/>
                <w:lang w:val="en-US" w:eastAsia="zh-CN"/>
              </w:rPr>
              <w:t>边坡工程</w:t>
            </w:r>
          </w:p>
          <w:p w14:paraId="22AD4EFA">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right="0" w:firstLine="0" w:firstLineChars="0"/>
              <w:jc w:val="center"/>
              <w:textAlignment w:val="auto"/>
              <w:outlineLvl w:val="9"/>
              <w:rPr>
                <w:rFonts w:hint="default" w:cs="Times New Roman"/>
                <w:b/>
                <w:bCs/>
                <w:color w:val="auto"/>
                <w:kern w:val="2"/>
                <w:sz w:val="21"/>
                <w:szCs w:val="21"/>
                <w:lang w:val="en-US" w:eastAsia="zh-CN"/>
              </w:rPr>
            </w:pPr>
            <w:r>
              <w:rPr>
                <w:rFonts w:hint="eastAsia" w:cs="Times New Roman"/>
                <w:b/>
                <w:bCs/>
                <w:color w:val="auto"/>
                <w:kern w:val="2"/>
                <w:sz w:val="21"/>
                <w:szCs w:val="21"/>
                <w:lang w:val="en-US" w:eastAsia="zh-CN"/>
              </w:rPr>
              <w:t>安全等级</w:t>
            </w:r>
          </w:p>
        </w:tc>
        <w:tc>
          <w:tcPr>
            <w:tcW w:w="3765" w:type="pct"/>
            <w:gridSpan w:val="3"/>
            <w:noWrap w:val="0"/>
            <w:vAlign w:val="center"/>
          </w:tcPr>
          <w:p w14:paraId="606D55B8">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default" w:ascii="Times New Roman" w:hAnsi="Times New Roman" w:eastAsia="宋体" w:cs="Times New Roman"/>
                <w:b/>
                <w:bCs/>
                <w:color w:val="auto"/>
                <w:kern w:val="2"/>
                <w:sz w:val="21"/>
                <w:szCs w:val="21"/>
                <w:lang w:val="en-US" w:eastAsia="zh-CN"/>
              </w:rPr>
            </w:pPr>
            <w:r>
              <w:rPr>
                <w:rFonts w:hint="eastAsia" w:cs="Times New Roman"/>
                <w:b/>
                <w:bCs/>
                <w:color w:val="auto"/>
                <w:kern w:val="2"/>
                <w:sz w:val="21"/>
                <w:szCs w:val="21"/>
                <w:lang w:val="en-US" w:eastAsia="zh-CN"/>
              </w:rPr>
              <w:t>边坡工程设计安全系数</w:t>
            </w:r>
          </w:p>
        </w:tc>
      </w:tr>
      <w:tr w14:paraId="2989A6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1234" w:type="pct"/>
            <w:vMerge w:val="continue"/>
            <w:noWrap w:val="0"/>
            <w:vAlign w:val="center"/>
          </w:tcPr>
          <w:p w14:paraId="6521556D">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default" w:ascii="Times New Roman" w:hAnsi="Times New Roman" w:eastAsia="宋体" w:cs="Times New Roman"/>
                <w:b/>
                <w:bCs/>
                <w:color w:val="auto"/>
                <w:kern w:val="2"/>
                <w:sz w:val="21"/>
                <w:szCs w:val="21"/>
                <w:lang w:eastAsia="zh-CN"/>
              </w:rPr>
            </w:pPr>
          </w:p>
        </w:tc>
        <w:tc>
          <w:tcPr>
            <w:tcW w:w="1242" w:type="pct"/>
            <w:noWrap w:val="0"/>
            <w:vAlign w:val="center"/>
          </w:tcPr>
          <w:p w14:paraId="30AEC89B">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default" w:ascii="Times New Roman" w:hAnsi="Times New Roman" w:eastAsia="宋体" w:cs="Times New Roman"/>
                <w:b/>
                <w:bCs/>
                <w:color w:val="auto"/>
                <w:kern w:val="2"/>
                <w:sz w:val="21"/>
                <w:szCs w:val="21"/>
                <w:lang w:eastAsia="zh-CN"/>
              </w:rPr>
            </w:pPr>
            <w:r>
              <w:rPr>
                <w:rFonts w:hint="eastAsia" w:cs="Times New Roman"/>
                <w:b/>
                <w:bCs/>
                <w:color w:val="auto"/>
                <w:kern w:val="2"/>
                <w:sz w:val="21"/>
                <w:szCs w:val="21"/>
                <w:lang w:val="en-US" w:eastAsia="zh-CN"/>
              </w:rPr>
              <w:t>荷载组合</w:t>
            </w:r>
            <w:r>
              <w:rPr>
                <w:rFonts w:hint="eastAsia" w:ascii="宋体" w:hAnsi="宋体" w:eastAsia="宋体" w:cs="宋体"/>
                <w:b/>
                <w:bCs/>
                <w:color w:val="auto"/>
                <w:kern w:val="2"/>
                <w:sz w:val="21"/>
                <w:szCs w:val="21"/>
                <w:lang w:val="en-US" w:eastAsia="zh-CN"/>
              </w:rPr>
              <w:t>Ⅰ</w:t>
            </w:r>
          </w:p>
        </w:tc>
        <w:tc>
          <w:tcPr>
            <w:tcW w:w="1261" w:type="pct"/>
            <w:noWrap w:val="0"/>
            <w:vAlign w:val="center"/>
          </w:tcPr>
          <w:p w14:paraId="215B5836">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default" w:ascii="Times New Roman" w:hAnsi="Times New Roman" w:eastAsia="宋体" w:cs="Times New Roman"/>
                <w:b/>
                <w:bCs/>
                <w:color w:val="auto"/>
                <w:kern w:val="2"/>
                <w:sz w:val="21"/>
                <w:szCs w:val="21"/>
                <w:lang w:eastAsia="zh-CN"/>
              </w:rPr>
            </w:pPr>
            <w:r>
              <w:rPr>
                <w:rFonts w:hint="eastAsia" w:cs="Times New Roman"/>
                <w:b/>
                <w:bCs/>
                <w:color w:val="auto"/>
                <w:kern w:val="2"/>
                <w:sz w:val="21"/>
                <w:szCs w:val="21"/>
                <w:lang w:val="en-US" w:eastAsia="zh-CN"/>
              </w:rPr>
              <w:t>荷载组合</w:t>
            </w:r>
            <w:r>
              <w:rPr>
                <w:rFonts w:hint="eastAsia" w:ascii="宋体" w:hAnsi="宋体" w:eastAsia="宋体" w:cs="宋体"/>
                <w:b/>
                <w:bCs/>
                <w:color w:val="auto"/>
                <w:kern w:val="2"/>
                <w:sz w:val="21"/>
                <w:szCs w:val="21"/>
                <w:lang w:val="en-US" w:eastAsia="zh-CN"/>
              </w:rPr>
              <w:t>Ⅱ</w:t>
            </w:r>
          </w:p>
        </w:tc>
        <w:tc>
          <w:tcPr>
            <w:tcW w:w="1261" w:type="pct"/>
            <w:noWrap w:val="0"/>
            <w:vAlign w:val="center"/>
          </w:tcPr>
          <w:p w14:paraId="7EFECE43">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default" w:ascii="Times New Roman" w:hAnsi="Times New Roman" w:eastAsia="宋体" w:cs="Times New Roman"/>
                <w:b/>
                <w:bCs/>
                <w:color w:val="auto"/>
                <w:kern w:val="2"/>
                <w:sz w:val="21"/>
                <w:szCs w:val="21"/>
                <w:lang w:eastAsia="zh-CN"/>
              </w:rPr>
            </w:pPr>
            <w:r>
              <w:rPr>
                <w:rFonts w:hint="eastAsia" w:cs="Times New Roman"/>
                <w:b/>
                <w:bCs/>
                <w:color w:val="auto"/>
                <w:kern w:val="2"/>
                <w:sz w:val="21"/>
                <w:szCs w:val="21"/>
                <w:lang w:val="en-US" w:eastAsia="zh-CN"/>
              </w:rPr>
              <w:t>荷载组合</w:t>
            </w:r>
            <w:r>
              <w:rPr>
                <w:rFonts w:hint="eastAsia" w:ascii="宋体" w:hAnsi="宋体" w:eastAsia="宋体" w:cs="宋体"/>
                <w:b/>
                <w:bCs/>
                <w:color w:val="auto"/>
                <w:kern w:val="2"/>
                <w:sz w:val="21"/>
                <w:szCs w:val="21"/>
                <w:lang w:val="en-US" w:eastAsia="zh-CN"/>
              </w:rPr>
              <w:t>Ⅲ</w:t>
            </w:r>
          </w:p>
        </w:tc>
      </w:tr>
      <w:tr w14:paraId="7885A3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1234" w:type="pct"/>
            <w:noWrap w:val="0"/>
            <w:vAlign w:val="center"/>
          </w:tcPr>
          <w:p w14:paraId="7098BD26">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default" w:ascii="Times New Roman" w:hAnsi="Times New Roman" w:eastAsia="宋体" w:cs="Times New Roman"/>
                <w:color w:val="auto"/>
                <w:kern w:val="2"/>
                <w:sz w:val="21"/>
                <w:szCs w:val="21"/>
                <w:lang w:eastAsia="zh-CN"/>
              </w:rPr>
            </w:pPr>
            <w:r>
              <w:rPr>
                <w:rFonts w:hint="eastAsia" w:ascii="宋体" w:hAnsi="宋体" w:eastAsia="宋体" w:cs="宋体"/>
                <w:b/>
                <w:bCs/>
                <w:color w:val="auto"/>
                <w:kern w:val="2"/>
                <w:sz w:val="21"/>
                <w:szCs w:val="21"/>
                <w:lang w:val="en-US" w:eastAsia="zh-CN"/>
              </w:rPr>
              <w:t>Ⅰ</w:t>
            </w:r>
          </w:p>
        </w:tc>
        <w:tc>
          <w:tcPr>
            <w:tcW w:w="1242" w:type="pct"/>
            <w:noWrap w:val="0"/>
            <w:vAlign w:val="center"/>
          </w:tcPr>
          <w:p w14:paraId="51E4C04A">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default" w:ascii="Times New Roman" w:hAnsi="Times New Roman" w:eastAsia="宋体" w:cs="Times New Roman"/>
                <w:color w:val="auto"/>
                <w:kern w:val="2"/>
                <w:sz w:val="21"/>
                <w:szCs w:val="21"/>
                <w:lang w:val="en-US" w:eastAsia="zh-CN"/>
              </w:rPr>
            </w:pPr>
            <w:r>
              <w:rPr>
                <w:rFonts w:hint="eastAsia" w:cs="Times New Roman"/>
                <w:color w:val="auto"/>
                <w:kern w:val="2"/>
                <w:sz w:val="21"/>
                <w:szCs w:val="21"/>
                <w:lang w:val="en-US" w:eastAsia="zh-CN"/>
              </w:rPr>
              <w:t>1.25～1.20</w:t>
            </w:r>
          </w:p>
        </w:tc>
        <w:tc>
          <w:tcPr>
            <w:tcW w:w="1261" w:type="pct"/>
            <w:noWrap w:val="0"/>
            <w:vAlign w:val="center"/>
          </w:tcPr>
          <w:p w14:paraId="5424AC7F">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default" w:ascii="Times New Roman" w:hAnsi="Times New Roman" w:eastAsia="宋体" w:cs="Times New Roman"/>
                <w:color w:val="auto"/>
                <w:kern w:val="2"/>
                <w:sz w:val="21"/>
                <w:szCs w:val="21"/>
                <w:lang w:val="en-US" w:eastAsia="zh-CN"/>
              </w:rPr>
            </w:pPr>
            <w:r>
              <w:rPr>
                <w:rFonts w:hint="eastAsia" w:cs="Times New Roman"/>
                <w:color w:val="auto"/>
                <w:kern w:val="2"/>
                <w:sz w:val="21"/>
                <w:szCs w:val="21"/>
                <w:lang w:val="en-US" w:eastAsia="zh-CN"/>
              </w:rPr>
              <w:t>1.23～1.18</w:t>
            </w:r>
          </w:p>
        </w:tc>
        <w:tc>
          <w:tcPr>
            <w:tcW w:w="1261" w:type="pct"/>
            <w:noWrap w:val="0"/>
            <w:vAlign w:val="center"/>
          </w:tcPr>
          <w:p w14:paraId="51D2BE4F">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default" w:ascii="Times New Roman" w:hAnsi="Times New Roman" w:eastAsia="宋体" w:cs="Times New Roman"/>
                <w:color w:val="auto"/>
                <w:kern w:val="2"/>
                <w:sz w:val="21"/>
                <w:szCs w:val="21"/>
                <w:lang w:val="en-US" w:eastAsia="zh-CN"/>
              </w:rPr>
            </w:pPr>
            <w:r>
              <w:rPr>
                <w:rFonts w:hint="eastAsia" w:cs="Times New Roman"/>
                <w:color w:val="auto"/>
                <w:kern w:val="2"/>
                <w:sz w:val="21"/>
                <w:szCs w:val="21"/>
                <w:lang w:val="en-US" w:eastAsia="zh-CN"/>
              </w:rPr>
              <w:t>1.2.～1.15</w:t>
            </w:r>
          </w:p>
        </w:tc>
      </w:tr>
      <w:tr w14:paraId="6A5E77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1234" w:type="pct"/>
            <w:noWrap w:val="0"/>
            <w:vAlign w:val="center"/>
          </w:tcPr>
          <w:p w14:paraId="5DE72020">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default" w:ascii="Times New Roman" w:hAnsi="Times New Roman" w:eastAsia="宋体" w:cs="Times New Roman"/>
                <w:color w:val="auto"/>
                <w:kern w:val="2"/>
                <w:sz w:val="21"/>
                <w:szCs w:val="21"/>
                <w:lang w:eastAsia="zh-CN"/>
              </w:rPr>
            </w:pPr>
            <w:r>
              <w:rPr>
                <w:rFonts w:hint="eastAsia" w:ascii="宋体" w:hAnsi="宋体" w:eastAsia="宋体" w:cs="宋体"/>
                <w:b/>
                <w:bCs/>
                <w:color w:val="auto"/>
                <w:kern w:val="2"/>
                <w:sz w:val="21"/>
                <w:szCs w:val="21"/>
                <w:lang w:val="en-US" w:eastAsia="zh-CN"/>
              </w:rPr>
              <w:t>Ⅱ</w:t>
            </w:r>
          </w:p>
        </w:tc>
        <w:tc>
          <w:tcPr>
            <w:tcW w:w="1242" w:type="pct"/>
            <w:noWrap w:val="0"/>
            <w:vAlign w:val="center"/>
          </w:tcPr>
          <w:p w14:paraId="6C15DC96">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default" w:ascii="Times New Roman" w:hAnsi="Times New Roman" w:eastAsia="宋体" w:cs="Times New Roman"/>
                <w:color w:val="auto"/>
                <w:kern w:val="2"/>
                <w:sz w:val="21"/>
                <w:szCs w:val="21"/>
                <w:lang w:val="en-US" w:eastAsia="zh-CN"/>
              </w:rPr>
            </w:pPr>
            <w:r>
              <w:rPr>
                <w:rFonts w:hint="eastAsia" w:cs="Times New Roman"/>
                <w:color w:val="auto"/>
                <w:kern w:val="2"/>
                <w:sz w:val="21"/>
                <w:szCs w:val="21"/>
                <w:lang w:val="en-US" w:eastAsia="zh-CN"/>
              </w:rPr>
              <w:t>1.20～1.15</w:t>
            </w:r>
          </w:p>
        </w:tc>
        <w:tc>
          <w:tcPr>
            <w:tcW w:w="1261" w:type="pct"/>
            <w:noWrap w:val="0"/>
            <w:vAlign w:val="center"/>
          </w:tcPr>
          <w:p w14:paraId="6FF94D60">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default" w:ascii="Times New Roman" w:hAnsi="Times New Roman" w:eastAsia="宋体" w:cs="Times New Roman"/>
                <w:color w:val="auto"/>
                <w:kern w:val="2"/>
                <w:sz w:val="21"/>
                <w:szCs w:val="21"/>
                <w:lang w:val="en-US" w:eastAsia="zh-CN"/>
              </w:rPr>
            </w:pPr>
            <w:r>
              <w:rPr>
                <w:rFonts w:hint="eastAsia" w:cs="Times New Roman"/>
                <w:color w:val="auto"/>
                <w:kern w:val="2"/>
                <w:sz w:val="21"/>
                <w:szCs w:val="21"/>
                <w:lang w:val="en-US" w:eastAsia="zh-CN"/>
              </w:rPr>
              <w:t>1.18～1.13</w:t>
            </w:r>
          </w:p>
        </w:tc>
        <w:tc>
          <w:tcPr>
            <w:tcW w:w="1261" w:type="pct"/>
            <w:noWrap w:val="0"/>
            <w:vAlign w:val="center"/>
          </w:tcPr>
          <w:p w14:paraId="4124974F">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default" w:ascii="Times New Roman" w:hAnsi="Times New Roman" w:eastAsia="宋体" w:cs="Times New Roman"/>
                <w:color w:val="auto"/>
                <w:kern w:val="2"/>
                <w:sz w:val="21"/>
                <w:szCs w:val="21"/>
                <w:lang w:eastAsia="zh-CN"/>
              </w:rPr>
            </w:pPr>
            <w:r>
              <w:rPr>
                <w:rFonts w:hint="eastAsia" w:cs="Times New Roman"/>
                <w:color w:val="auto"/>
                <w:kern w:val="2"/>
                <w:sz w:val="21"/>
                <w:szCs w:val="21"/>
                <w:lang w:val="en-US" w:eastAsia="zh-CN"/>
              </w:rPr>
              <w:t>1.15～1.10</w:t>
            </w:r>
          </w:p>
        </w:tc>
      </w:tr>
      <w:tr w14:paraId="2F2C29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1234" w:type="pct"/>
            <w:noWrap w:val="0"/>
            <w:vAlign w:val="center"/>
          </w:tcPr>
          <w:p w14:paraId="3DF5C992">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default" w:ascii="Times New Roman" w:hAnsi="Times New Roman" w:eastAsia="宋体" w:cs="Times New Roman"/>
                <w:color w:val="auto"/>
                <w:kern w:val="2"/>
                <w:sz w:val="21"/>
                <w:szCs w:val="21"/>
                <w:lang w:eastAsia="zh-CN"/>
              </w:rPr>
            </w:pPr>
            <w:r>
              <w:rPr>
                <w:rFonts w:hint="eastAsia" w:ascii="宋体" w:hAnsi="宋体" w:eastAsia="宋体" w:cs="宋体"/>
                <w:b/>
                <w:bCs/>
                <w:color w:val="auto"/>
                <w:kern w:val="2"/>
                <w:sz w:val="21"/>
                <w:szCs w:val="21"/>
                <w:lang w:val="en-US" w:eastAsia="zh-CN"/>
              </w:rPr>
              <w:t>Ⅲ</w:t>
            </w:r>
          </w:p>
        </w:tc>
        <w:tc>
          <w:tcPr>
            <w:tcW w:w="1242" w:type="pct"/>
            <w:noWrap w:val="0"/>
            <w:vAlign w:val="center"/>
          </w:tcPr>
          <w:p w14:paraId="63952343">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default" w:ascii="Times New Roman" w:hAnsi="Times New Roman" w:eastAsia="宋体" w:cs="Times New Roman"/>
                <w:color w:val="auto"/>
                <w:kern w:val="2"/>
                <w:sz w:val="21"/>
                <w:szCs w:val="21"/>
                <w:lang w:eastAsia="zh-CN"/>
              </w:rPr>
            </w:pPr>
            <w:r>
              <w:rPr>
                <w:rFonts w:hint="eastAsia" w:cs="Times New Roman"/>
                <w:color w:val="auto"/>
                <w:kern w:val="2"/>
                <w:sz w:val="21"/>
                <w:szCs w:val="21"/>
                <w:lang w:val="en-US" w:eastAsia="zh-CN"/>
              </w:rPr>
              <w:t>1.15～1.10</w:t>
            </w:r>
          </w:p>
        </w:tc>
        <w:tc>
          <w:tcPr>
            <w:tcW w:w="1261" w:type="pct"/>
            <w:noWrap w:val="0"/>
            <w:vAlign w:val="center"/>
          </w:tcPr>
          <w:p w14:paraId="08899FE3">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default" w:ascii="Times New Roman" w:hAnsi="Times New Roman" w:eastAsia="宋体" w:cs="Times New Roman"/>
                <w:color w:val="auto"/>
                <w:kern w:val="2"/>
                <w:sz w:val="21"/>
                <w:szCs w:val="21"/>
                <w:lang w:val="en-US" w:eastAsia="zh-CN"/>
              </w:rPr>
            </w:pPr>
            <w:r>
              <w:rPr>
                <w:rFonts w:hint="eastAsia" w:cs="Times New Roman"/>
                <w:color w:val="auto"/>
                <w:kern w:val="2"/>
                <w:sz w:val="21"/>
                <w:szCs w:val="21"/>
                <w:lang w:val="en-US" w:eastAsia="zh-CN"/>
              </w:rPr>
              <w:t>1.13～1.08</w:t>
            </w:r>
          </w:p>
        </w:tc>
        <w:tc>
          <w:tcPr>
            <w:tcW w:w="1261" w:type="pct"/>
            <w:noWrap w:val="0"/>
            <w:vAlign w:val="center"/>
          </w:tcPr>
          <w:p w14:paraId="142A51BD">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default" w:ascii="Times New Roman" w:hAnsi="Times New Roman" w:eastAsia="宋体" w:cs="Times New Roman"/>
                <w:color w:val="auto"/>
                <w:kern w:val="2"/>
                <w:sz w:val="21"/>
                <w:szCs w:val="21"/>
                <w:lang w:val="en-US" w:eastAsia="zh-CN"/>
              </w:rPr>
            </w:pPr>
            <w:r>
              <w:rPr>
                <w:rFonts w:hint="eastAsia" w:cs="Times New Roman"/>
                <w:color w:val="auto"/>
                <w:kern w:val="2"/>
                <w:sz w:val="21"/>
                <w:szCs w:val="21"/>
                <w:lang w:val="en-US" w:eastAsia="zh-CN"/>
              </w:rPr>
              <w:t>1.10～1.05</w:t>
            </w:r>
          </w:p>
        </w:tc>
      </w:tr>
    </w:tbl>
    <w:p w14:paraId="7700CF55">
      <w:pPr>
        <w:rPr>
          <w:rFonts w:hint="default"/>
          <w:b/>
          <w:bCs/>
          <w:color w:val="auto"/>
          <w:sz w:val="21"/>
          <w:szCs w:val="21"/>
          <w:lang w:val="en-US" w:eastAsia="zh-CN"/>
        </w:rPr>
      </w:pPr>
      <w:r>
        <w:rPr>
          <w:rFonts w:hint="default"/>
          <w:b/>
          <w:bCs/>
          <w:color w:val="auto"/>
          <w:sz w:val="21"/>
          <w:szCs w:val="21"/>
          <w:lang w:val="en-US" w:eastAsia="zh-CN"/>
        </w:rPr>
        <w:t>注：1</w:t>
      </w:r>
      <w:r>
        <w:rPr>
          <w:rFonts w:hint="eastAsia"/>
          <w:b/>
          <w:bCs/>
          <w:color w:val="auto"/>
          <w:sz w:val="21"/>
          <w:szCs w:val="21"/>
          <w:lang w:val="en-US" w:eastAsia="zh-CN"/>
        </w:rPr>
        <w:t xml:space="preserve">. </w:t>
      </w:r>
      <w:r>
        <w:rPr>
          <w:rFonts w:hint="default"/>
          <w:b/>
          <w:bCs/>
          <w:color w:val="auto"/>
          <w:sz w:val="21"/>
          <w:szCs w:val="21"/>
          <w:lang w:val="en-US" w:eastAsia="zh-CN"/>
        </w:rPr>
        <w:t>荷载组合</w:t>
      </w:r>
      <w:r>
        <w:rPr>
          <w:rFonts w:hint="eastAsia" w:ascii="宋体" w:hAnsi="宋体" w:eastAsia="宋体" w:cs="宋体"/>
          <w:b/>
          <w:bCs/>
          <w:color w:val="auto"/>
          <w:sz w:val="21"/>
          <w:szCs w:val="21"/>
          <w:lang w:val="en-US" w:eastAsia="zh-CN"/>
        </w:rPr>
        <w:t>Ⅰ</w:t>
      </w:r>
      <w:r>
        <w:rPr>
          <w:rFonts w:hint="default"/>
          <w:b/>
          <w:bCs/>
          <w:color w:val="auto"/>
          <w:sz w:val="21"/>
          <w:szCs w:val="21"/>
          <w:lang w:val="en-US" w:eastAsia="zh-CN"/>
        </w:rPr>
        <w:t>为自重十地下水；荷载组合</w:t>
      </w:r>
      <w:r>
        <w:rPr>
          <w:rFonts w:hint="eastAsia" w:ascii="宋体" w:hAnsi="宋体" w:eastAsia="宋体" w:cs="宋体"/>
          <w:b/>
          <w:bCs/>
          <w:color w:val="auto"/>
          <w:sz w:val="21"/>
          <w:szCs w:val="21"/>
          <w:lang w:val="en-US" w:eastAsia="zh-CN"/>
        </w:rPr>
        <w:t>Ⅱ</w:t>
      </w:r>
      <w:r>
        <w:rPr>
          <w:rFonts w:hint="default"/>
          <w:b/>
          <w:bCs/>
          <w:color w:val="auto"/>
          <w:sz w:val="21"/>
          <w:szCs w:val="21"/>
          <w:lang w:val="en-US" w:eastAsia="zh-CN"/>
        </w:rPr>
        <w:t>为自重十地下水十爆破振动力；荷载组合</w:t>
      </w:r>
      <w:r>
        <w:rPr>
          <w:rFonts w:hint="eastAsia" w:ascii="宋体" w:hAnsi="宋体" w:eastAsia="宋体" w:cs="宋体"/>
          <w:b/>
          <w:bCs/>
          <w:color w:val="auto"/>
          <w:sz w:val="21"/>
          <w:szCs w:val="21"/>
          <w:lang w:val="en-US" w:eastAsia="zh-CN"/>
        </w:rPr>
        <w:t>Ⅲ</w:t>
      </w:r>
      <w:r>
        <w:rPr>
          <w:rFonts w:hint="default"/>
          <w:b/>
          <w:bCs/>
          <w:color w:val="auto"/>
          <w:sz w:val="21"/>
          <w:szCs w:val="21"/>
          <w:lang w:val="en-US" w:eastAsia="zh-CN"/>
        </w:rPr>
        <w:t>为自重十地下水十地震力。</w:t>
      </w:r>
    </w:p>
    <w:p w14:paraId="6A14845C">
      <w:pPr>
        <w:ind w:firstLine="843" w:firstLineChars="400"/>
        <w:rPr>
          <w:rFonts w:hint="default" w:eastAsia="宋体"/>
          <w:b/>
          <w:bCs/>
          <w:color w:val="auto"/>
          <w:sz w:val="21"/>
          <w:szCs w:val="21"/>
          <w:lang w:val="en-US" w:eastAsia="zh-CN"/>
        </w:rPr>
      </w:pPr>
      <w:r>
        <w:rPr>
          <w:rFonts w:hint="default" w:eastAsia="宋体"/>
          <w:b/>
          <w:bCs/>
          <w:color w:val="auto"/>
          <w:sz w:val="21"/>
          <w:szCs w:val="21"/>
          <w:lang w:val="en-US" w:eastAsia="zh-CN"/>
        </w:rPr>
        <w:t>2</w:t>
      </w:r>
      <w:r>
        <w:rPr>
          <w:rFonts w:hint="eastAsia"/>
          <w:b/>
          <w:bCs/>
          <w:color w:val="auto"/>
          <w:sz w:val="21"/>
          <w:szCs w:val="21"/>
          <w:lang w:val="en-US" w:eastAsia="zh-CN"/>
        </w:rPr>
        <w:t xml:space="preserve">. </w:t>
      </w:r>
      <w:r>
        <w:rPr>
          <w:rFonts w:hint="default" w:eastAsia="宋体"/>
          <w:b/>
          <w:bCs/>
          <w:color w:val="auto"/>
          <w:sz w:val="21"/>
          <w:szCs w:val="21"/>
          <w:lang w:val="en-US" w:eastAsia="zh-CN"/>
        </w:rPr>
        <w:t>对台阶边坡和临时性工作帮，允许有一定程度的破坏,设计安全系数可适当降低。</w:t>
      </w:r>
    </w:p>
    <w:p w14:paraId="13E420AD">
      <w:pPr>
        <w:rPr>
          <w:rFonts w:hint="default"/>
          <w:color w:val="auto"/>
          <w:lang w:val="en-US" w:eastAsia="zh-CN"/>
        </w:rPr>
      </w:pPr>
      <w:r>
        <w:rPr>
          <w:rFonts w:hint="default"/>
          <w:color w:val="auto"/>
          <w:lang w:val="en-US" w:eastAsia="zh-CN"/>
        </w:rPr>
        <w:t>边坡在不同工况条件下稳定性安全系数控制标准，详见表</w:t>
      </w:r>
      <w:r>
        <w:rPr>
          <w:rFonts w:hint="eastAsia"/>
          <w:color w:val="auto"/>
          <w:lang w:val="en-US" w:eastAsia="zh-CN"/>
        </w:rPr>
        <w:t>2.4-2</w:t>
      </w:r>
      <w:r>
        <w:rPr>
          <w:rFonts w:hint="default"/>
          <w:color w:val="auto"/>
          <w:lang w:val="en-US" w:eastAsia="zh-CN"/>
        </w:rPr>
        <w:t>参照《非煤露天矿边坡工程技术规范》（GB51016-2014），边坡稳定性状态划分见表</w:t>
      </w:r>
      <w:r>
        <w:rPr>
          <w:rFonts w:hint="eastAsia"/>
          <w:color w:val="auto"/>
          <w:lang w:val="en-US" w:eastAsia="zh-CN"/>
        </w:rPr>
        <w:t>2.4-3</w:t>
      </w:r>
      <w:r>
        <w:rPr>
          <w:rFonts w:hint="default"/>
          <w:color w:val="auto"/>
          <w:lang w:val="en-US" w:eastAsia="zh-CN"/>
        </w:rPr>
        <w:t>。</w:t>
      </w:r>
    </w:p>
    <w:p w14:paraId="72EAA2BA">
      <w:pPr>
        <w:ind w:left="0" w:leftChars="0" w:firstLine="0" w:firstLineChars="0"/>
        <w:jc w:val="center"/>
        <w:rPr>
          <w:rFonts w:hint="default"/>
          <w:color w:val="auto"/>
          <w:lang w:val="en-US" w:eastAsia="zh-CN"/>
        </w:rPr>
      </w:pPr>
      <w:r>
        <w:rPr>
          <w:rFonts w:hint="default"/>
          <w:color w:val="auto"/>
          <w:lang w:val="en-US" w:eastAsia="zh-CN"/>
        </w:rPr>
        <w:t>表</w:t>
      </w:r>
      <w:r>
        <w:rPr>
          <w:rFonts w:hint="eastAsia"/>
          <w:color w:val="auto"/>
          <w:lang w:val="en-US" w:eastAsia="zh-CN"/>
        </w:rPr>
        <w:t xml:space="preserve">2.4-3 </w:t>
      </w:r>
      <w:r>
        <w:rPr>
          <w:rFonts w:hint="default"/>
          <w:color w:val="auto"/>
          <w:lang w:val="en-US" w:eastAsia="zh-CN"/>
        </w:rPr>
        <w:t>边坡稳定状态划分表</w:t>
      </w:r>
    </w:p>
    <w:tbl>
      <w:tblPr>
        <w:tblStyle w:val="19"/>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1"/>
        <w:gridCol w:w="1693"/>
        <w:gridCol w:w="1719"/>
        <w:gridCol w:w="1719"/>
        <w:gridCol w:w="1710"/>
      </w:tblGrid>
      <w:tr w14:paraId="2E5D3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1681" w:type="dxa"/>
            <w:noWrap w:val="0"/>
            <w:vAlign w:val="center"/>
          </w:tcPr>
          <w:p w14:paraId="266C4F15">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default" w:ascii="Times New Roman" w:hAnsi="Times New Roman" w:eastAsia="宋体" w:cs="Times New Roman"/>
                <w:color w:val="auto"/>
                <w:kern w:val="2"/>
                <w:sz w:val="21"/>
                <w:szCs w:val="21"/>
                <w:lang w:eastAsia="zh-CN"/>
              </w:rPr>
            </w:pPr>
            <w:bookmarkStart w:id="131" w:name="_Toc26147"/>
            <w:bookmarkStart w:id="132" w:name="_Toc28366"/>
            <w:r>
              <w:rPr>
                <w:rFonts w:hint="default" w:ascii="Times New Roman" w:hAnsi="Times New Roman" w:eastAsia="宋体" w:cs="Times New Roman"/>
                <w:color w:val="auto"/>
                <w:kern w:val="2"/>
                <w:sz w:val="21"/>
                <w:szCs w:val="21"/>
                <w:lang w:eastAsia="zh-CN"/>
              </w:rPr>
              <w:t>边坡稳定系数</w:t>
            </w:r>
            <w:bookmarkEnd w:id="131"/>
            <w:bookmarkEnd w:id="132"/>
          </w:p>
        </w:tc>
        <w:tc>
          <w:tcPr>
            <w:tcW w:w="1693" w:type="dxa"/>
            <w:noWrap w:val="0"/>
            <w:vAlign w:val="center"/>
          </w:tcPr>
          <w:p w14:paraId="128CE743">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default" w:ascii="Times New Roman" w:hAnsi="Times New Roman" w:eastAsia="宋体" w:cs="Times New Roman"/>
                <w:color w:val="auto"/>
                <w:kern w:val="2"/>
                <w:sz w:val="21"/>
                <w:szCs w:val="21"/>
                <w:lang w:eastAsia="zh-CN"/>
              </w:rPr>
            </w:pPr>
            <w:bookmarkStart w:id="133" w:name="_Toc4440"/>
            <w:bookmarkStart w:id="134" w:name="_Toc8803"/>
            <w:r>
              <w:rPr>
                <w:rFonts w:hint="default" w:ascii="Times New Roman" w:hAnsi="Times New Roman" w:eastAsia="宋体" w:cs="Times New Roman"/>
                <w:color w:val="auto"/>
                <w:kern w:val="2"/>
                <w:sz w:val="21"/>
                <w:szCs w:val="21"/>
                <w:lang w:eastAsia="zh-CN"/>
              </w:rPr>
              <w:t>Fs＜1.00</w:t>
            </w:r>
            <w:bookmarkEnd w:id="133"/>
            <w:bookmarkEnd w:id="134"/>
          </w:p>
        </w:tc>
        <w:tc>
          <w:tcPr>
            <w:tcW w:w="1719" w:type="dxa"/>
            <w:noWrap w:val="0"/>
            <w:vAlign w:val="center"/>
          </w:tcPr>
          <w:p w14:paraId="41DB1D45">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default" w:ascii="Times New Roman" w:hAnsi="Times New Roman" w:eastAsia="宋体" w:cs="Times New Roman"/>
                <w:color w:val="auto"/>
                <w:kern w:val="2"/>
                <w:sz w:val="21"/>
                <w:szCs w:val="21"/>
                <w:lang w:eastAsia="zh-CN"/>
              </w:rPr>
            </w:pPr>
            <w:bookmarkStart w:id="135" w:name="_Toc18314"/>
            <w:bookmarkStart w:id="136" w:name="_Toc8716"/>
            <w:r>
              <w:rPr>
                <w:rFonts w:hint="default" w:ascii="Times New Roman" w:hAnsi="Times New Roman" w:eastAsia="宋体" w:cs="Times New Roman"/>
                <w:color w:val="auto"/>
                <w:kern w:val="2"/>
                <w:sz w:val="21"/>
                <w:szCs w:val="21"/>
                <w:lang w:eastAsia="zh-CN"/>
              </w:rPr>
              <w:t>1.00≤Fs＜1.05</w:t>
            </w:r>
            <w:bookmarkEnd w:id="135"/>
            <w:bookmarkEnd w:id="136"/>
          </w:p>
        </w:tc>
        <w:tc>
          <w:tcPr>
            <w:tcW w:w="1719" w:type="dxa"/>
            <w:noWrap w:val="0"/>
            <w:vAlign w:val="center"/>
          </w:tcPr>
          <w:p w14:paraId="32B6F2AC">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default" w:ascii="Times New Roman" w:hAnsi="Times New Roman" w:eastAsia="宋体" w:cs="Times New Roman"/>
                <w:color w:val="auto"/>
                <w:kern w:val="2"/>
                <w:sz w:val="21"/>
                <w:szCs w:val="21"/>
                <w:lang w:eastAsia="zh-CN"/>
              </w:rPr>
            </w:pPr>
            <w:bookmarkStart w:id="137" w:name="_Toc23014"/>
            <w:bookmarkStart w:id="138" w:name="_Toc21075"/>
            <w:r>
              <w:rPr>
                <w:rFonts w:hint="default" w:ascii="Times New Roman" w:hAnsi="Times New Roman" w:eastAsia="宋体" w:cs="Times New Roman"/>
                <w:color w:val="auto"/>
                <w:kern w:val="2"/>
                <w:sz w:val="21"/>
                <w:szCs w:val="21"/>
                <w:lang w:eastAsia="zh-CN"/>
              </w:rPr>
              <w:t>1.05≤Fs＜Fst</w:t>
            </w:r>
            <w:bookmarkEnd w:id="137"/>
            <w:bookmarkEnd w:id="138"/>
          </w:p>
        </w:tc>
        <w:tc>
          <w:tcPr>
            <w:tcW w:w="1710" w:type="dxa"/>
            <w:noWrap w:val="0"/>
            <w:vAlign w:val="center"/>
          </w:tcPr>
          <w:p w14:paraId="7B01D3E1">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default" w:ascii="Times New Roman" w:hAnsi="Times New Roman" w:eastAsia="宋体" w:cs="Times New Roman"/>
                <w:color w:val="auto"/>
                <w:kern w:val="2"/>
                <w:sz w:val="21"/>
                <w:szCs w:val="21"/>
                <w:lang w:eastAsia="zh-CN"/>
              </w:rPr>
            </w:pPr>
            <w:bookmarkStart w:id="139" w:name="_Toc20905"/>
            <w:bookmarkStart w:id="140" w:name="_Toc21866"/>
            <w:r>
              <w:rPr>
                <w:rFonts w:hint="default" w:ascii="Times New Roman" w:hAnsi="Times New Roman" w:eastAsia="宋体" w:cs="Times New Roman"/>
                <w:color w:val="auto"/>
                <w:kern w:val="2"/>
                <w:sz w:val="21"/>
                <w:szCs w:val="21"/>
                <w:lang w:eastAsia="zh-CN"/>
              </w:rPr>
              <w:t>Fs≥Fst</w:t>
            </w:r>
            <w:bookmarkEnd w:id="139"/>
            <w:bookmarkEnd w:id="140"/>
          </w:p>
        </w:tc>
      </w:tr>
      <w:tr w14:paraId="17BE2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681" w:type="dxa"/>
            <w:noWrap w:val="0"/>
            <w:vAlign w:val="center"/>
          </w:tcPr>
          <w:p w14:paraId="4ED1B6AF">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default" w:ascii="Times New Roman" w:hAnsi="Times New Roman" w:eastAsia="宋体" w:cs="Times New Roman"/>
                <w:color w:val="auto"/>
                <w:kern w:val="2"/>
                <w:sz w:val="21"/>
                <w:szCs w:val="21"/>
                <w:lang w:eastAsia="zh-CN"/>
              </w:rPr>
            </w:pPr>
            <w:bookmarkStart w:id="141" w:name="_Toc13538"/>
            <w:bookmarkStart w:id="142" w:name="_Toc27452"/>
            <w:r>
              <w:rPr>
                <w:rFonts w:hint="default" w:ascii="Times New Roman" w:hAnsi="Times New Roman" w:eastAsia="宋体" w:cs="Times New Roman"/>
                <w:color w:val="auto"/>
                <w:kern w:val="2"/>
                <w:sz w:val="21"/>
                <w:szCs w:val="21"/>
                <w:lang w:eastAsia="zh-CN"/>
              </w:rPr>
              <w:t>边坡稳定状态</w:t>
            </w:r>
            <w:bookmarkEnd w:id="141"/>
            <w:bookmarkEnd w:id="142"/>
          </w:p>
        </w:tc>
        <w:tc>
          <w:tcPr>
            <w:tcW w:w="1693" w:type="dxa"/>
            <w:noWrap w:val="0"/>
            <w:vAlign w:val="center"/>
          </w:tcPr>
          <w:p w14:paraId="6A49A84E">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default" w:ascii="Times New Roman" w:hAnsi="Times New Roman" w:eastAsia="宋体" w:cs="Times New Roman"/>
                <w:color w:val="auto"/>
                <w:kern w:val="2"/>
                <w:sz w:val="21"/>
                <w:szCs w:val="21"/>
                <w:lang w:eastAsia="zh-CN"/>
              </w:rPr>
            </w:pPr>
            <w:bookmarkStart w:id="143" w:name="_Toc29281"/>
            <w:bookmarkStart w:id="144" w:name="_Toc28727"/>
            <w:r>
              <w:rPr>
                <w:rFonts w:hint="default" w:ascii="Times New Roman" w:hAnsi="Times New Roman" w:eastAsia="宋体" w:cs="Times New Roman"/>
                <w:color w:val="auto"/>
                <w:kern w:val="2"/>
                <w:sz w:val="21"/>
                <w:szCs w:val="21"/>
                <w:lang w:eastAsia="zh-CN"/>
              </w:rPr>
              <w:t>不稳定</w:t>
            </w:r>
            <w:bookmarkEnd w:id="143"/>
            <w:bookmarkEnd w:id="144"/>
          </w:p>
        </w:tc>
        <w:tc>
          <w:tcPr>
            <w:tcW w:w="1719" w:type="dxa"/>
            <w:noWrap w:val="0"/>
            <w:vAlign w:val="center"/>
          </w:tcPr>
          <w:p w14:paraId="01AD9F18">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default" w:ascii="Times New Roman" w:hAnsi="Times New Roman" w:eastAsia="宋体" w:cs="Times New Roman"/>
                <w:color w:val="auto"/>
                <w:kern w:val="2"/>
                <w:sz w:val="21"/>
                <w:szCs w:val="21"/>
                <w:lang w:eastAsia="zh-CN"/>
              </w:rPr>
            </w:pPr>
            <w:bookmarkStart w:id="145" w:name="_Toc28756"/>
            <w:bookmarkStart w:id="146" w:name="_Toc25314"/>
            <w:r>
              <w:rPr>
                <w:rFonts w:hint="default" w:ascii="Times New Roman" w:hAnsi="Times New Roman" w:eastAsia="宋体" w:cs="Times New Roman"/>
                <w:color w:val="auto"/>
                <w:kern w:val="2"/>
                <w:sz w:val="21"/>
                <w:szCs w:val="21"/>
                <w:lang w:eastAsia="zh-CN"/>
              </w:rPr>
              <w:t>欠稳定</w:t>
            </w:r>
            <w:bookmarkEnd w:id="145"/>
            <w:bookmarkEnd w:id="146"/>
          </w:p>
        </w:tc>
        <w:tc>
          <w:tcPr>
            <w:tcW w:w="1719" w:type="dxa"/>
            <w:noWrap w:val="0"/>
            <w:vAlign w:val="center"/>
          </w:tcPr>
          <w:p w14:paraId="3254053B">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default" w:ascii="Times New Roman" w:hAnsi="Times New Roman" w:eastAsia="宋体" w:cs="Times New Roman"/>
                <w:color w:val="auto"/>
                <w:kern w:val="2"/>
                <w:sz w:val="21"/>
                <w:szCs w:val="21"/>
                <w:lang w:eastAsia="zh-CN"/>
              </w:rPr>
            </w:pPr>
            <w:bookmarkStart w:id="147" w:name="_Toc18230"/>
            <w:bookmarkStart w:id="148" w:name="_Toc20311"/>
            <w:r>
              <w:rPr>
                <w:rFonts w:hint="default" w:ascii="Times New Roman" w:hAnsi="Times New Roman" w:eastAsia="宋体" w:cs="Times New Roman"/>
                <w:color w:val="auto"/>
                <w:kern w:val="2"/>
                <w:sz w:val="21"/>
                <w:szCs w:val="21"/>
                <w:lang w:eastAsia="zh-CN"/>
              </w:rPr>
              <w:t>基本稳定</w:t>
            </w:r>
            <w:bookmarkEnd w:id="147"/>
            <w:bookmarkEnd w:id="148"/>
          </w:p>
        </w:tc>
        <w:tc>
          <w:tcPr>
            <w:tcW w:w="1710" w:type="dxa"/>
            <w:noWrap w:val="0"/>
            <w:vAlign w:val="center"/>
          </w:tcPr>
          <w:p w14:paraId="260F6875">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default" w:ascii="Times New Roman" w:hAnsi="Times New Roman" w:eastAsia="宋体" w:cs="Times New Roman"/>
                <w:color w:val="auto"/>
                <w:kern w:val="2"/>
                <w:sz w:val="21"/>
                <w:szCs w:val="21"/>
                <w:lang w:eastAsia="zh-CN"/>
              </w:rPr>
            </w:pPr>
            <w:bookmarkStart w:id="149" w:name="_Toc29481"/>
            <w:bookmarkStart w:id="150" w:name="_Toc25006"/>
            <w:r>
              <w:rPr>
                <w:rFonts w:hint="default" w:ascii="Times New Roman" w:hAnsi="Times New Roman" w:eastAsia="宋体" w:cs="Times New Roman"/>
                <w:color w:val="auto"/>
                <w:kern w:val="2"/>
                <w:sz w:val="21"/>
                <w:szCs w:val="21"/>
                <w:lang w:eastAsia="zh-CN"/>
              </w:rPr>
              <w:t>稳定</w:t>
            </w:r>
            <w:bookmarkEnd w:id="149"/>
            <w:bookmarkEnd w:id="150"/>
          </w:p>
        </w:tc>
      </w:tr>
    </w:tbl>
    <w:p w14:paraId="713EF56B">
      <w:pPr>
        <w:bidi w:val="0"/>
        <w:rPr>
          <w:rFonts w:hint="default"/>
          <w:color w:val="auto"/>
          <w:lang w:val="en-US" w:eastAsia="zh-CN"/>
        </w:rPr>
      </w:pPr>
      <w:r>
        <w:rPr>
          <w:rFonts w:hint="eastAsia" w:cs="Times New Roman"/>
          <w:color w:val="auto"/>
          <w:kern w:val="2"/>
          <w:sz w:val="28"/>
          <w:szCs w:val="24"/>
          <w:lang w:val="en-US" w:eastAsia="zh-CN" w:bidi="ar-SA"/>
        </w:rPr>
        <w:t>3</w:t>
      </w:r>
      <w:r>
        <w:rPr>
          <w:rFonts w:hint="default" w:ascii="Times New Roman" w:hAnsi="Times New Roman" w:eastAsia="宋体" w:cs="Times New Roman"/>
          <w:color w:val="auto"/>
          <w:kern w:val="2"/>
          <w:sz w:val="28"/>
          <w:szCs w:val="24"/>
          <w:lang w:val="en-US" w:eastAsia="zh-CN" w:bidi="ar-SA"/>
        </w:rPr>
        <w:t>.</w:t>
      </w:r>
      <w:r>
        <w:rPr>
          <w:rFonts w:hint="eastAsia" w:cs="Times New Roman"/>
          <w:color w:val="auto"/>
          <w:kern w:val="2"/>
          <w:sz w:val="28"/>
          <w:szCs w:val="24"/>
          <w:lang w:val="en-US" w:eastAsia="zh-CN" w:bidi="ar-SA"/>
        </w:rPr>
        <w:t xml:space="preserve"> </w:t>
      </w:r>
      <w:r>
        <w:rPr>
          <w:rFonts w:hint="default"/>
          <w:color w:val="auto"/>
          <w:lang w:val="en-US" w:eastAsia="zh-CN"/>
        </w:rPr>
        <w:t>计算参数</w:t>
      </w:r>
    </w:p>
    <w:p w14:paraId="79A2059C">
      <w:pPr>
        <w:rPr>
          <w:rFonts w:hint="default"/>
          <w:color w:val="auto"/>
          <w:lang w:val="en-US" w:eastAsia="zh-CN"/>
        </w:rPr>
      </w:pPr>
      <w:r>
        <w:rPr>
          <w:rFonts w:hint="default"/>
          <w:color w:val="auto"/>
          <w:lang w:val="en-US" w:eastAsia="zh-CN"/>
        </w:rPr>
        <w:t>《非煤露天矿边坡工程技术规范》（GB51016-2014）规定，边坡稳定性评价应在查明工程地质、水文地质条件的基础上，根据边坡岩土工程条件，采用定性分析和定量分析相结合方法进行，边坡安全稳定性计算可采用刚体极限平衡方法。</w:t>
      </w:r>
    </w:p>
    <w:p w14:paraId="284C4F14">
      <w:pPr>
        <w:rPr>
          <w:rFonts w:hint="default"/>
          <w:color w:val="auto"/>
          <w:lang w:val="en-US" w:eastAsia="zh-CN"/>
        </w:rPr>
      </w:pPr>
      <w:r>
        <w:rPr>
          <w:rFonts w:hint="eastAsia"/>
          <w:color w:val="auto"/>
          <w:lang w:val="en-US" w:eastAsia="zh-CN"/>
        </w:rPr>
        <w:t>（</w:t>
      </w:r>
      <w:r>
        <w:rPr>
          <w:rFonts w:hint="default"/>
          <w:color w:val="auto"/>
          <w:lang w:val="en-US" w:eastAsia="zh-CN"/>
        </w:rPr>
        <w:t>1</w:t>
      </w:r>
      <w:r>
        <w:rPr>
          <w:rFonts w:hint="eastAsia"/>
          <w:color w:val="auto"/>
          <w:lang w:val="en-US" w:eastAsia="zh-CN"/>
        </w:rPr>
        <w:t>）</w:t>
      </w:r>
      <w:r>
        <w:rPr>
          <w:rFonts w:hint="default"/>
          <w:color w:val="auto"/>
          <w:lang w:val="en-US" w:eastAsia="zh-CN"/>
        </w:rPr>
        <w:t>岩土体物理力学参数</w:t>
      </w:r>
    </w:p>
    <w:p w14:paraId="52707C5A">
      <w:pPr>
        <w:rPr>
          <w:rFonts w:hint="default"/>
          <w:color w:val="auto"/>
          <w:lang w:val="en-US" w:eastAsia="zh-CN"/>
        </w:rPr>
      </w:pPr>
      <w:r>
        <w:rPr>
          <w:rFonts w:hint="default"/>
          <w:color w:val="auto"/>
          <w:lang w:val="en-US" w:eastAsia="zh-CN"/>
        </w:rPr>
        <w:t>坡体地层岩性自下而上主要为中风化凝灰岩、强风化凝灰岩、残破积层。在对边坡调查的基础上，结合《江西坤育矿业有限公司德安县聂桥镇刘家山矿区建筑用辉绿岩矿露天开采</w:t>
      </w:r>
      <w:r>
        <w:rPr>
          <w:rFonts w:hint="eastAsia" w:ascii="宋体" w:hAnsi="宋体" w:eastAsia="宋体" w:cs="宋体"/>
          <w:color w:val="auto"/>
          <w:lang w:val="en-US" w:eastAsia="zh-CN"/>
        </w:rPr>
        <w:t>Ⅰ</w:t>
      </w:r>
      <w:r>
        <w:rPr>
          <w:rFonts w:hint="default"/>
          <w:color w:val="auto"/>
          <w:lang w:val="en-US" w:eastAsia="zh-CN"/>
        </w:rPr>
        <w:t>期工程安全设施设计》资料中江西省勘察设计研究测试中心试验数据，通过工程地质类比法综合考虑确定稳定性计算参数。</w:t>
      </w:r>
    </w:p>
    <w:p w14:paraId="49C06647">
      <w:pPr>
        <w:ind w:left="0" w:leftChars="0" w:firstLine="0" w:firstLineChars="0"/>
        <w:jc w:val="center"/>
        <w:rPr>
          <w:rFonts w:hint="default"/>
          <w:color w:val="auto"/>
          <w:lang w:val="en-US" w:eastAsia="zh-CN"/>
        </w:rPr>
      </w:pPr>
      <w:r>
        <w:rPr>
          <w:rFonts w:hint="default"/>
          <w:color w:val="auto"/>
          <w:lang w:val="en-US" w:eastAsia="zh-CN"/>
        </w:rPr>
        <w:t>表</w:t>
      </w:r>
      <w:r>
        <w:rPr>
          <w:rFonts w:hint="eastAsia"/>
          <w:color w:val="auto"/>
          <w:lang w:val="en-US" w:eastAsia="zh-CN"/>
        </w:rPr>
        <w:t xml:space="preserve">2.4-4 </w:t>
      </w:r>
      <w:r>
        <w:rPr>
          <w:rFonts w:hint="default"/>
          <w:color w:val="auto"/>
          <w:lang w:val="en-US" w:eastAsia="zh-CN"/>
        </w:rPr>
        <w:t>边坡岩体物理力学性质参数统计表</w:t>
      </w:r>
    </w:p>
    <w:tbl>
      <w:tblPr>
        <w:tblStyle w:val="18"/>
        <w:tblW w:w="8612" w:type="dxa"/>
        <w:jc w:val="center"/>
        <w:tblLayout w:type="fixed"/>
        <w:tblCellMar>
          <w:top w:w="0" w:type="dxa"/>
          <w:left w:w="108" w:type="dxa"/>
          <w:bottom w:w="0" w:type="dxa"/>
          <w:right w:w="108" w:type="dxa"/>
        </w:tblCellMar>
      </w:tblPr>
      <w:tblGrid>
        <w:gridCol w:w="1251"/>
        <w:gridCol w:w="1836"/>
        <w:gridCol w:w="1273"/>
        <w:gridCol w:w="992"/>
        <w:gridCol w:w="990"/>
        <w:gridCol w:w="1137"/>
        <w:gridCol w:w="1133"/>
      </w:tblGrid>
      <w:tr w14:paraId="1058A14F">
        <w:tblPrEx>
          <w:tblCellMar>
            <w:top w:w="0" w:type="dxa"/>
            <w:left w:w="108" w:type="dxa"/>
            <w:bottom w:w="0" w:type="dxa"/>
            <w:right w:w="108" w:type="dxa"/>
          </w:tblCellMar>
        </w:tblPrEx>
        <w:trPr>
          <w:trHeight w:val="435" w:hRule="atLeast"/>
          <w:jc w:val="center"/>
        </w:trPr>
        <w:tc>
          <w:tcPr>
            <w:tcW w:w="1251"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501EB212">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矿区</w:t>
            </w:r>
          </w:p>
        </w:tc>
        <w:tc>
          <w:tcPr>
            <w:tcW w:w="1836"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12E03911">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岩石名称</w:t>
            </w:r>
          </w:p>
        </w:tc>
        <w:tc>
          <w:tcPr>
            <w:tcW w:w="5525" w:type="dxa"/>
            <w:gridSpan w:val="5"/>
            <w:tcBorders>
              <w:top w:val="single" w:color="auto" w:sz="4" w:space="0"/>
              <w:left w:val="nil"/>
              <w:bottom w:val="single" w:color="auto" w:sz="4" w:space="0"/>
              <w:right w:val="single" w:color="auto" w:sz="4" w:space="0"/>
            </w:tcBorders>
            <w:shd w:val="clear" w:color="auto" w:fill="auto"/>
            <w:noWrap/>
            <w:vAlign w:val="center"/>
          </w:tcPr>
          <w:p w14:paraId="0EF93DE1">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物理力学性质参数</w:t>
            </w:r>
          </w:p>
        </w:tc>
      </w:tr>
      <w:tr w14:paraId="5FA97F27">
        <w:tblPrEx>
          <w:tblCellMar>
            <w:top w:w="0" w:type="dxa"/>
            <w:left w:w="108" w:type="dxa"/>
            <w:bottom w:w="0" w:type="dxa"/>
            <w:right w:w="108" w:type="dxa"/>
          </w:tblCellMar>
        </w:tblPrEx>
        <w:trPr>
          <w:trHeight w:val="1042" w:hRule="atLeast"/>
          <w:jc w:val="center"/>
        </w:trPr>
        <w:tc>
          <w:tcPr>
            <w:tcW w:w="1251" w:type="dxa"/>
            <w:vMerge w:val="continue"/>
            <w:tcBorders>
              <w:top w:val="single" w:color="auto" w:sz="4" w:space="0"/>
              <w:left w:val="single" w:color="auto" w:sz="4" w:space="0"/>
              <w:bottom w:val="single" w:color="auto" w:sz="4" w:space="0"/>
              <w:right w:val="single" w:color="auto" w:sz="4" w:space="0"/>
            </w:tcBorders>
            <w:vAlign w:val="center"/>
          </w:tcPr>
          <w:p w14:paraId="0C32150E">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eastAsia" w:ascii="宋体" w:hAnsi="宋体" w:eastAsia="宋体" w:cs="宋体"/>
                <w:color w:val="auto"/>
                <w:kern w:val="2"/>
                <w:sz w:val="21"/>
                <w:szCs w:val="21"/>
                <w:lang w:eastAsia="zh-CN"/>
              </w:rPr>
            </w:pPr>
          </w:p>
        </w:tc>
        <w:tc>
          <w:tcPr>
            <w:tcW w:w="1836" w:type="dxa"/>
            <w:vMerge w:val="continue"/>
            <w:tcBorders>
              <w:top w:val="single" w:color="auto" w:sz="4" w:space="0"/>
              <w:left w:val="single" w:color="auto" w:sz="4" w:space="0"/>
              <w:bottom w:val="single" w:color="auto" w:sz="4" w:space="0"/>
              <w:right w:val="single" w:color="auto" w:sz="4" w:space="0"/>
            </w:tcBorders>
            <w:vAlign w:val="center"/>
          </w:tcPr>
          <w:p w14:paraId="1031ECBC">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eastAsia" w:ascii="宋体" w:hAnsi="宋体" w:eastAsia="宋体" w:cs="宋体"/>
                <w:color w:val="auto"/>
                <w:kern w:val="2"/>
                <w:sz w:val="21"/>
                <w:szCs w:val="21"/>
                <w:lang w:eastAsia="zh-CN"/>
              </w:rPr>
            </w:pPr>
          </w:p>
        </w:tc>
        <w:tc>
          <w:tcPr>
            <w:tcW w:w="1273" w:type="dxa"/>
            <w:tcBorders>
              <w:top w:val="nil"/>
              <w:left w:val="nil"/>
              <w:bottom w:val="single" w:color="auto" w:sz="4" w:space="0"/>
              <w:right w:val="single" w:color="auto" w:sz="4" w:space="0"/>
            </w:tcBorders>
            <w:shd w:val="clear" w:color="auto" w:fill="auto"/>
            <w:vAlign w:val="center"/>
          </w:tcPr>
          <w:p w14:paraId="1ADF6BBC">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饱和抗压强度(MPa)</w:t>
            </w:r>
          </w:p>
        </w:tc>
        <w:tc>
          <w:tcPr>
            <w:tcW w:w="992" w:type="dxa"/>
            <w:tcBorders>
              <w:top w:val="nil"/>
              <w:left w:val="nil"/>
              <w:bottom w:val="single" w:color="auto" w:sz="4" w:space="0"/>
              <w:right w:val="single" w:color="auto" w:sz="4" w:space="0"/>
            </w:tcBorders>
            <w:shd w:val="clear" w:color="auto" w:fill="auto"/>
            <w:vAlign w:val="center"/>
          </w:tcPr>
          <w:p w14:paraId="1238A16F">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结构面粘结强度C（</w:t>
            </w:r>
            <w:r>
              <w:rPr>
                <w:rFonts w:hint="eastAsia" w:ascii="宋体" w:hAnsi="宋体" w:cs="宋体"/>
                <w:color w:val="auto"/>
                <w:kern w:val="2"/>
                <w:sz w:val="21"/>
                <w:szCs w:val="21"/>
                <w:lang w:val="en-US" w:eastAsia="zh-CN"/>
              </w:rPr>
              <w:t>kP</w:t>
            </w:r>
            <w:r>
              <w:rPr>
                <w:rFonts w:hint="eastAsia" w:ascii="宋体" w:hAnsi="宋体" w:eastAsia="宋体" w:cs="宋体"/>
                <w:color w:val="auto"/>
                <w:kern w:val="2"/>
                <w:sz w:val="21"/>
                <w:szCs w:val="21"/>
                <w:lang w:eastAsia="zh-CN"/>
              </w:rPr>
              <w:t>a）</w:t>
            </w:r>
          </w:p>
        </w:tc>
        <w:tc>
          <w:tcPr>
            <w:tcW w:w="990" w:type="dxa"/>
            <w:tcBorders>
              <w:top w:val="nil"/>
              <w:left w:val="nil"/>
              <w:bottom w:val="single" w:color="auto" w:sz="4" w:space="0"/>
              <w:right w:val="single" w:color="auto" w:sz="4" w:space="0"/>
            </w:tcBorders>
            <w:shd w:val="clear" w:color="auto" w:fill="auto"/>
            <w:vAlign w:val="center"/>
          </w:tcPr>
          <w:p w14:paraId="4DFB8C8C">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内摩擦角Φ(°)</w:t>
            </w:r>
          </w:p>
        </w:tc>
        <w:tc>
          <w:tcPr>
            <w:tcW w:w="1137" w:type="dxa"/>
            <w:tcBorders>
              <w:top w:val="nil"/>
              <w:left w:val="nil"/>
              <w:bottom w:val="single" w:color="auto" w:sz="4" w:space="0"/>
              <w:right w:val="single" w:color="auto" w:sz="4" w:space="0"/>
            </w:tcBorders>
            <w:shd w:val="clear" w:color="auto" w:fill="auto"/>
            <w:vAlign w:val="center"/>
          </w:tcPr>
          <w:p w14:paraId="538D02FC">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天然密度(g/cm</w:t>
            </w:r>
            <w:r>
              <w:rPr>
                <w:rFonts w:hint="eastAsia" w:ascii="宋体" w:hAnsi="宋体" w:eastAsia="宋体" w:cs="宋体"/>
                <w:color w:val="auto"/>
                <w:kern w:val="2"/>
                <w:sz w:val="21"/>
                <w:szCs w:val="21"/>
                <w:vertAlign w:val="superscript"/>
                <w:lang w:eastAsia="zh-CN"/>
              </w:rPr>
              <w:t>3</w:t>
            </w:r>
            <w:r>
              <w:rPr>
                <w:rFonts w:hint="eastAsia" w:ascii="宋体" w:hAnsi="宋体" w:eastAsia="宋体" w:cs="宋体"/>
                <w:color w:val="auto"/>
                <w:kern w:val="2"/>
                <w:sz w:val="21"/>
                <w:szCs w:val="21"/>
                <w:lang w:eastAsia="zh-CN"/>
              </w:rPr>
              <w:t>)</w:t>
            </w:r>
          </w:p>
        </w:tc>
        <w:tc>
          <w:tcPr>
            <w:tcW w:w="1133" w:type="dxa"/>
            <w:tcBorders>
              <w:top w:val="nil"/>
              <w:left w:val="nil"/>
              <w:bottom w:val="single" w:color="auto" w:sz="4" w:space="0"/>
              <w:right w:val="single" w:color="auto" w:sz="4" w:space="0"/>
            </w:tcBorders>
            <w:shd w:val="clear" w:color="auto" w:fill="auto"/>
            <w:vAlign w:val="center"/>
          </w:tcPr>
          <w:p w14:paraId="2EC91BC4">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重力密度(kN/m</w:t>
            </w:r>
            <w:r>
              <w:rPr>
                <w:rFonts w:hint="eastAsia" w:ascii="宋体" w:hAnsi="宋体" w:eastAsia="宋体" w:cs="宋体"/>
                <w:color w:val="auto"/>
                <w:kern w:val="2"/>
                <w:sz w:val="21"/>
                <w:szCs w:val="21"/>
                <w:vertAlign w:val="superscript"/>
                <w:lang w:eastAsia="zh-CN"/>
              </w:rPr>
              <w:t>3</w:t>
            </w:r>
            <w:r>
              <w:rPr>
                <w:rFonts w:hint="eastAsia" w:ascii="宋体" w:hAnsi="宋体" w:eastAsia="宋体" w:cs="宋体"/>
                <w:color w:val="auto"/>
                <w:kern w:val="2"/>
                <w:sz w:val="21"/>
                <w:szCs w:val="21"/>
                <w:lang w:eastAsia="zh-CN"/>
              </w:rPr>
              <w:t>)</w:t>
            </w:r>
          </w:p>
        </w:tc>
      </w:tr>
      <w:tr w14:paraId="1971048C">
        <w:tblPrEx>
          <w:tblCellMar>
            <w:top w:w="0" w:type="dxa"/>
            <w:left w:w="108" w:type="dxa"/>
            <w:bottom w:w="0" w:type="dxa"/>
            <w:right w:w="108" w:type="dxa"/>
          </w:tblCellMar>
        </w:tblPrEx>
        <w:trPr>
          <w:trHeight w:val="525" w:hRule="atLeast"/>
          <w:jc w:val="center"/>
        </w:trPr>
        <w:tc>
          <w:tcPr>
            <w:tcW w:w="1251" w:type="dxa"/>
            <w:vMerge w:val="restart"/>
            <w:tcBorders>
              <w:top w:val="nil"/>
              <w:left w:val="single" w:color="auto" w:sz="4" w:space="0"/>
              <w:bottom w:val="single" w:color="auto" w:sz="4" w:space="0"/>
              <w:right w:val="single" w:color="auto" w:sz="4" w:space="0"/>
            </w:tcBorders>
            <w:shd w:val="clear" w:color="auto" w:fill="auto"/>
            <w:vAlign w:val="center"/>
          </w:tcPr>
          <w:p w14:paraId="75BEA158">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德安刘家山矿区</w:t>
            </w:r>
          </w:p>
        </w:tc>
        <w:tc>
          <w:tcPr>
            <w:tcW w:w="1836" w:type="dxa"/>
            <w:tcBorders>
              <w:top w:val="nil"/>
              <w:left w:val="nil"/>
              <w:bottom w:val="single" w:color="auto" w:sz="4" w:space="0"/>
              <w:right w:val="single" w:color="auto" w:sz="4" w:space="0"/>
            </w:tcBorders>
            <w:shd w:val="clear" w:color="auto" w:fill="auto"/>
            <w:noWrap/>
            <w:vAlign w:val="center"/>
          </w:tcPr>
          <w:p w14:paraId="5F6145C7">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中等（弱）风化火山岩</w:t>
            </w:r>
          </w:p>
        </w:tc>
        <w:tc>
          <w:tcPr>
            <w:tcW w:w="1273" w:type="dxa"/>
            <w:tcBorders>
              <w:top w:val="nil"/>
              <w:left w:val="nil"/>
              <w:bottom w:val="single" w:color="auto" w:sz="4" w:space="0"/>
              <w:right w:val="single" w:color="auto" w:sz="4" w:space="0"/>
            </w:tcBorders>
            <w:shd w:val="clear" w:color="auto" w:fill="auto"/>
            <w:noWrap/>
            <w:vAlign w:val="center"/>
          </w:tcPr>
          <w:p w14:paraId="5480E276">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80.2</w:t>
            </w:r>
          </w:p>
        </w:tc>
        <w:tc>
          <w:tcPr>
            <w:tcW w:w="992" w:type="dxa"/>
            <w:tcBorders>
              <w:top w:val="nil"/>
              <w:left w:val="nil"/>
              <w:bottom w:val="single" w:color="auto" w:sz="4" w:space="0"/>
              <w:right w:val="single" w:color="auto" w:sz="4" w:space="0"/>
            </w:tcBorders>
            <w:shd w:val="clear" w:color="auto" w:fill="auto"/>
            <w:noWrap/>
            <w:vAlign w:val="center"/>
          </w:tcPr>
          <w:p w14:paraId="4FC4A475">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90</w:t>
            </w:r>
          </w:p>
        </w:tc>
        <w:tc>
          <w:tcPr>
            <w:tcW w:w="990" w:type="dxa"/>
            <w:tcBorders>
              <w:top w:val="nil"/>
              <w:left w:val="nil"/>
              <w:bottom w:val="single" w:color="auto" w:sz="4" w:space="0"/>
              <w:right w:val="single" w:color="auto" w:sz="4" w:space="0"/>
            </w:tcBorders>
            <w:shd w:val="clear" w:color="auto" w:fill="auto"/>
            <w:noWrap/>
            <w:vAlign w:val="center"/>
          </w:tcPr>
          <w:p w14:paraId="021E3129">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29</w:t>
            </w:r>
          </w:p>
        </w:tc>
        <w:tc>
          <w:tcPr>
            <w:tcW w:w="1137" w:type="dxa"/>
            <w:tcBorders>
              <w:top w:val="nil"/>
              <w:left w:val="nil"/>
              <w:bottom w:val="single" w:color="auto" w:sz="4" w:space="0"/>
              <w:right w:val="single" w:color="auto" w:sz="4" w:space="0"/>
            </w:tcBorders>
            <w:shd w:val="clear" w:color="auto" w:fill="auto"/>
            <w:noWrap/>
            <w:vAlign w:val="center"/>
          </w:tcPr>
          <w:p w14:paraId="7A5C74A7">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2.50</w:t>
            </w:r>
          </w:p>
        </w:tc>
        <w:tc>
          <w:tcPr>
            <w:tcW w:w="1133" w:type="dxa"/>
            <w:tcBorders>
              <w:top w:val="nil"/>
              <w:left w:val="nil"/>
              <w:bottom w:val="single" w:color="auto" w:sz="4" w:space="0"/>
              <w:right w:val="single" w:color="auto" w:sz="4" w:space="0"/>
            </w:tcBorders>
            <w:shd w:val="clear" w:color="auto" w:fill="auto"/>
            <w:noWrap/>
            <w:vAlign w:val="center"/>
          </w:tcPr>
          <w:p w14:paraId="63B125EA">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25.0</w:t>
            </w:r>
          </w:p>
        </w:tc>
      </w:tr>
      <w:tr w14:paraId="39FBF6DD">
        <w:tblPrEx>
          <w:tblCellMar>
            <w:top w:w="0" w:type="dxa"/>
            <w:left w:w="108" w:type="dxa"/>
            <w:bottom w:w="0" w:type="dxa"/>
            <w:right w:w="108" w:type="dxa"/>
          </w:tblCellMar>
        </w:tblPrEx>
        <w:trPr>
          <w:trHeight w:val="549" w:hRule="atLeast"/>
          <w:jc w:val="center"/>
        </w:trPr>
        <w:tc>
          <w:tcPr>
            <w:tcW w:w="1251" w:type="dxa"/>
            <w:vMerge w:val="continue"/>
            <w:tcBorders>
              <w:top w:val="nil"/>
              <w:left w:val="single" w:color="auto" w:sz="4" w:space="0"/>
              <w:bottom w:val="single" w:color="auto" w:sz="4" w:space="0"/>
              <w:right w:val="single" w:color="auto" w:sz="4" w:space="0"/>
            </w:tcBorders>
            <w:shd w:val="clear" w:color="auto" w:fill="auto"/>
            <w:vAlign w:val="center"/>
          </w:tcPr>
          <w:p w14:paraId="3CAE475F">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eastAsia" w:ascii="宋体" w:hAnsi="宋体" w:eastAsia="宋体" w:cs="宋体"/>
                <w:color w:val="auto"/>
                <w:kern w:val="2"/>
                <w:sz w:val="21"/>
                <w:szCs w:val="21"/>
                <w:lang w:eastAsia="zh-CN"/>
              </w:rPr>
            </w:pPr>
          </w:p>
        </w:tc>
        <w:tc>
          <w:tcPr>
            <w:tcW w:w="1836" w:type="dxa"/>
            <w:tcBorders>
              <w:top w:val="nil"/>
              <w:left w:val="nil"/>
              <w:bottom w:val="single" w:color="auto" w:sz="4" w:space="0"/>
              <w:right w:val="single" w:color="auto" w:sz="4" w:space="0"/>
            </w:tcBorders>
            <w:shd w:val="clear" w:color="auto" w:fill="auto"/>
            <w:noWrap/>
            <w:vAlign w:val="center"/>
          </w:tcPr>
          <w:p w14:paraId="7106BDE2">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微风化或未风化火山岩</w:t>
            </w:r>
          </w:p>
        </w:tc>
        <w:tc>
          <w:tcPr>
            <w:tcW w:w="1273" w:type="dxa"/>
            <w:tcBorders>
              <w:top w:val="nil"/>
              <w:left w:val="nil"/>
              <w:bottom w:val="single" w:color="auto" w:sz="4" w:space="0"/>
              <w:right w:val="single" w:color="auto" w:sz="4" w:space="0"/>
            </w:tcBorders>
            <w:shd w:val="clear" w:color="auto" w:fill="auto"/>
            <w:noWrap/>
            <w:vAlign w:val="center"/>
          </w:tcPr>
          <w:p w14:paraId="5F23B5A2">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168.8</w:t>
            </w:r>
          </w:p>
        </w:tc>
        <w:tc>
          <w:tcPr>
            <w:tcW w:w="992" w:type="dxa"/>
            <w:tcBorders>
              <w:top w:val="nil"/>
              <w:left w:val="nil"/>
              <w:bottom w:val="single" w:color="auto" w:sz="4" w:space="0"/>
              <w:right w:val="single" w:color="auto" w:sz="4" w:space="0"/>
            </w:tcBorders>
            <w:shd w:val="clear" w:color="auto" w:fill="auto"/>
            <w:noWrap/>
            <w:vAlign w:val="center"/>
          </w:tcPr>
          <w:p w14:paraId="2C0E1737">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140</w:t>
            </w:r>
          </w:p>
        </w:tc>
        <w:tc>
          <w:tcPr>
            <w:tcW w:w="990" w:type="dxa"/>
            <w:tcBorders>
              <w:top w:val="nil"/>
              <w:left w:val="nil"/>
              <w:bottom w:val="single" w:color="auto" w:sz="4" w:space="0"/>
              <w:right w:val="single" w:color="auto" w:sz="4" w:space="0"/>
            </w:tcBorders>
            <w:shd w:val="clear" w:color="auto" w:fill="auto"/>
            <w:noWrap/>
            <w:vAlign w:val="center"/>
          </w:tcPr>
          <w:p w14:paraId="70F96871">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35</w:t>
            </w:r>
          </w:p>
        </w:tc>
        <w:tc>
          <w:tcPr>
            <w:tcW w:w="1137" w:type="dxa"/>
            <w:tcBorders>
              <w:top w:val="nil"/>
              <w:left w:val="nil"/>
              <w:bottom w:val="single" w:color="auto" w:sz="4" w:space="0"/>
              <w:right w:val="single" w:color="auto" w:sz="4" w:space="0"/>
            </w:tcBorders>
            <w:shd w:val="clear" w:color="auto" w:fill="auto"/>
            <w:noWrap/>
            <w:vAlign w:val="center"/>
          </w:tcPr>
          <w:p w14:paraId="6098B0E8">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2.60</w:t>
            </w:r>
          </w:p>
        </w:tc>
        <w:tc>
          <w:tcPr>
            <w:tcW w:w="1133" w:type="dxa"/>
            <w:tcBorders>
              <w:top w:val="nil"/>
              <w:left w:val="nil"/>
              <w:bottom w:val="single" w:color="auto" w:sz="4" w:space="0"/>
              <w:right w:val="single" w:color="auto" w:sz="4" w:space="0"/>
            </w:tcBorders>
            <w:shd w:val="clear" w:color="auto" w:fill="auto"/>
            <w:noWrap/>
            <w:vAlign w:val="center"/>
          </w:tcPr>
          <w:p w14:paraId="6BC71F82">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26.0</w:t>
            </w:r>
          </w:p>
        </w:tc>
      </w:tr>
    </w:tbl>
    <w:p w14:paraId="44925B9F">
      <w:pPr>
        <w:bidi w:val="0"/>
        <w:rPr>
          <w:rFonts w:hint="default"/>
          <w:color w:val="auto"/>
          <w:lang w:val="en-US" w:eastAsia="zh-CN"/>
        </w:rPr>
      </w:pPr>
      <w:r>
        <w:rPr>
          <w:rFonts w:hint="eastAsia"/>
          <w:color w:val="auto"/>
          <w:lang w:val="en-US" w:eastAsia="zh-CN"/>
        </w:rPr>
        <w:t>（2）</w:t>
      </w:r>
      <w:r>
        <w:rPr>
          <w:rFonts w:hint="default"/>
          <w:color w:val="auto"/>
          <w:lang w:val="en-US" w:eastAsia="zh-CN"/>
        </w:rPr>
        <w:t>土层物理力学参数</w:t>
      </w:r>
    </w:p>
    <w:p w14:paraId="408AFB6E">
      <w:pPr>
        <w:rPr>
          <w:rFonts w:hint="default"/>
          <w:color w:val="auto"/>
          <w:lang w:val="en-US" w:eastAsia="zh-CN"/>
        </w:rPr>
      </w:pPr>
      <w:r>
        <w:rPr>
          <w:rFonts w:hint="default"/>
          <w:color w:val="auto"/>
          <w:lang w:val="en-US" w:eastAsia="zh-CN"/>
        </w:rPr>
        <w:t>根据现场调查收集资料、《工程地质手册》和工程经验分析可得：</w:t>
      </w:r>
    </w:p>
    <w:p w14:paraId="67A67DBC">
      <w:pPr>
        <w:rPr>
          <w:rFonts w:hint="default"/>
          <w:color w:val="auto"/>
          <w:lang w:val="en-US" w:eastAsia="zh-CN"/>
        </w:rPr>
      </w:pPr>
      <w:r>
        <w:rPr>
          <w:rFonts w:hint="default"/>
          <w:color w:val="auto"/>
          <w:lang w:val="en-US" w:eastAsia="zh-CN"/>
        </w:rPr>
        <w:t>①残坡积层</w:t>
      </w:r>
      <w:r>
        <w:rPr>
          <w:rFonts w:hint="eastAsia"/>
          <w:color w:val="auto"/>
          <w:lang w:val="en-US" w:eastAsia="zh-CN"/>
        </w:rPr>
        <w:t>：</w:t>
      </w:r>
      <w:r>
        <w:rPr>
          <w:rFonts w:hint="default"/>
          <w:color w:val="auto"/>
          <w:lang w:val="en-US" w:eastAsia="zh-CN"/>
        </w:rPr>
        <w:t>天然状态下容重γ=18.0kN/m</w:t>
      </w:r>
      <w:r>
        <w:rPr>
          <w:rFonts w:hint="default"/>
          <w:color w:val="auto"/>
          <w:vertAlign w:val="superscript"/>
          <w:lang w:val="en-US" w:eastAsia="zh-CN"/>
        </w:rPr>
        <w:t>3</w:t>
      </w:r>
      <w:r>
        <w:rPr>
          <w:rFonts w:hint="default"/>
          <w:color w:val="auto"/>
          <w:lang w:val="en-US" w:eastAsia="zh-CN"/>
        </w:rPr>
        <w:t>，地基承载力特征值220kPa，内聚力值为C=12kPa、内摩擦角值为φ=10</w:t>
      </w:r>
      <w:r>
        <w:rPr>
          <w:rFonts w:hint="eastAsia" w:ascii="宋体" w:hAnsi="宋体" w:eastAsia="宋体" w:cs="宋体"/>
          <w:color w:val="auto"/>
          <w:lang w:val="en-US" w:eastAsia="zh-CN"/>
        </w:rPr>
        <w:t>°</w:t>
      </w:r>
      <w:r>
        <w:rPr>
          <w:rFonts w:hint="default"/>
          <w:color w:val="auto"/>
          <w:lang w:val="en-US" w:eastAsia="zh-CN"/>
        </w:rPr>
        <w:t>；饱和状态下容重γ=19.0kN/m</w:t>
      </w:r>
      <w:r>
        <w:rPr>
          <w:rFonts w:hint="default"/>
          <w:color w:val="auto"/>
          <w:vertAlign w:val="superscript"/>
          <w:lang w:val="en-US" w:eastAsia="zh-CN"/>
        </w:rPr>
        <w:t>3</w:t>
      </w:r>
      <w:r>
        <w:rPr>
          <w:rFonts w:hint="default"/>
          <w:color w:val="auto"/>
          <w:lang w:val="en-US" w:eastAsia="zh-CN"/>
        </w:rPr>
        <w:t>，内聚力值为C=11kPa、内摩擦角值为φ=9</w:t>
      </w:r>
      <w:r>
        <w:rPr>
          <w:rFonts w:hint="eastAsia" w:ascii="宋体" w:hAnsi="宋体" w:eastAsia="宋体" w:cs="宋体"/>
          <w:color w:val="auto"/>
          <w:lang w:val="en-US" w:eastAsia="zh-CN"/>
        </w:rPr>
        <w:t>°</w:t>
      </w:r>
      <w:r>
        <w:rPr>
          <w:rFonts w:hint="default"/>
          <w:color w:val="auto"/>
          <w:lang w:val="en-US" w:eastAsia="zh-CN"/>
        </w:rPr>
        <w:t>。</w:t>
      </w:r>
    </w:p>
    <w:p w14:paraId="1531BED8">
      <w:pPr>
        <w:rPr>
          <w:rFonts w:hint="default"/>
          <w:color w:val="auto"/>
          <w:lang w:val="en-US" w:eastAsia="zh-CN"/>
        </w:rPr>
      </w:pPr>
      <w:r>
        <w:rPr>
          <w:rFonts w:hint="default"/>
          <w:color w:val="auto"/>
          <w:lang w:val="en-US" w:eastAsia="zh-CN"/>
        </w:rPr>
        <w:t>②中等弱风化火山岩：天然状态下容重γ=25kN/m</w:t>
      </w:r>
      <w:r>
        <w:rPr>
          <w:rFonts w:hint="default"/>
          <w:color w:val="auto"/>
          <w:vertAlign w:val="superscript"/>
          <w:lang w:val="en-US" w:eastAsia="zh-CN"/>
        </w:rPr>
        <w:t>3</w:t>
      </w:r>
      <w:r>
        <w:rPr>
          <w:rFonts w:hint="default"/>
          <w:color w:val="auto"/>
          <w:lang w:val="en-US" w:eastAsia="zh-CN"/>
        </w:rPr>
        <w:t>，地基承载力特征值2000</w:t>
      </w:r>
      <w:r>
        <w:rPr>
          <w:rFonts w:hint="eastAsia"/>
          <w:color w:val="auto"/>
          <w:lang w:val="en-US" w:eastAsia="zh-CN"/>
        </w:rPr>
        <w:t>~</w:t>
      </w:r>
      <w:r>
        <w:rPr>
          <w:rFonts w:hint="default"/>
          <w:color w:val="auto"/>
          <w:lang w:val="en-US" w:eastAsia="zh-CN"/>
        </w:rPr>
        <w:t>3000kPa，结构面抗剪强度值为C=90kPa、φ=29</w:t>
      </w:r>
      <w:r>
        <w:rPr>
          <w:rFonts w:hint="eastAsia" w:ascii="宋体" w:hAnsi="宋体" w:eastAsia="宋体" w:cs="宋体"/>
          <w:color w:val="auto"/>
          <w:lang w:val="en-US" w:eastAsia="zh-CN"/>
        </w:rPr>
        <w:t>°</w:t>
      </w:r>
      <w:r>
        <w:rPr>
          <w:rFonts w:hint="default"/>
          <w:color w:val="auto"/>
          <w:lang w:val="en-US" w:eastAsia="zh-CN"/>
        </w:rPr>
        <w:t>；饱和状态下容重γ=25.7KN/m</w:t>
      </w:r>
      <w:r>
        <w:rPr>
          <w:rFonts w:hint="default"/>
          <w:color w:val="auto"/>
          <w:vertAlign w:val="superscript"/>
          <w:lang w:val="en-US" w:eastAsia="zh-CN"/>
        </w:rPr>
        <w:t>3</w:t>
      </w:r>
      <w:r>
        <w:rPr>
          <w:rFonts w:hint="default"/>
          <w:color w:val="auto"/>
          <w:lang w:val="en-US" w:eastAsia="zh-CN"/>
        </w:rPr>
        <w:t>，结构面抗剪强度值为C=85kPa、内摩擦角值为φ=28</w:t>
      </w:r>
      <w:r>
        <w:rPr>
          <w:rFonts w:hint="eastAsia" w:ascii="宋体" w:hAnsi="宋体" w:eastAsia="宋体" w:cs="宋体"/>
          <w:color w:val="auto"/>
          <w:lang w:val="en-US" w:eastAsia="zh-CN"/>
        </w:rPr>
        <w:t>°</w:t>
      </w:r>
      <w:r>
        <w:rPr>
          <w:rFonts w:hint="default"/>
          <w:color w:val="auto"/>
          <w:lang w:val="en-US" w:eastAsia="zh-CN"/>
        </w:rPr>
        <w:t>。</w:t>
      </w:r>
    </w:p>
    <w:p w14:paraId="005363C0">
      <w:pPr>
        <w:rPr>
          <w:rFonts w:hint="default"/>
          <w:color w:val="auto"/>
          <w:lang w:val="en-US" w:eastAsia="zh-CN"/>
        </w:rPr>
      </w:pPr>
      <w:r>
        <w:rPr>
          <w:rFonts w:hint="default"/>
          <w:color w:val="auto"/>
          <w:lang w:val="en-US" w:eastAsia="zh-CN"/>
        </w:rPr>
        <w:t>③微风化或未风化火山岩：天然状态下容重γ=26kN/m</w:t>
      </w:r>
      <w:r>
        <w:rPr>
          <w:rFonts w:hint="default"/>
          <w:color w:val="auto"/>
          <w:vertAlign w:val="superscript"/>
          <w:lang w:val="en-US" w:eastAsia="zh-CN"/>
        </w:rPr>
        <w:t>3</w:t>
      </w:r>
      <w:r>
        <w:rPr>
          <w:rFonts w:hint="default"/>
          <w:color w:val="auto"/>
          <w:lang w:val="en-US" w:eastAsia="zh-CN"/>
        </w:rPr>
        <w:t>，地基承载力特征值2000</w:t>
      </w:r>
      <w:r>
        <w:rPr>
          <w:rFonts w:hint="eastAsia"/>
          <w:color w:val="auto"/>
          <w:lang w:val="en-US" w:eastAsia="zh-CN"/>
        </w:rPr>
        <w:t>~</w:t>
      </w:r>
      <w:r>
        <w:rPr>
          <w:rFonts w:hint="default"/>
          <w:color w:val="auto"/>
          <w:lang w:val="en-US" w:eastAsia="zh-CN"/>
        </w:rPr>
        <w:t>3000kPa，结构面抗剪强度值为C=140kPa、内摩擦角值为φ=35</w:t>
      </w:r>
      <w:r>
        <w:rPr>
          <w:rFonts w:hint="eastAsia" w:ascii="宋体" w:hAnsi="宋体" w:eastAsia="宋体" w:cs="宋体"/>
          <w:color w:val="auto"/>
          <w:lang w:val="en-US" w:eastAsia="zh-CN"/>
        </w:rPr>
        <w:t>°</w:t>
      </w:r>
      <w:r>
        <w:rPr>
          <w:rFonts w:hint="default"/>
          <w:color w:val="auto"/>
          <w:lang w:val="en-US" w:eastAsia="zh-CN"/>
        </w:rPr>
        <w:t>；饱和状态下容重γ=26.7kN/m</w:t>
      </w:r>
      <w:r>
        <w:rPr>
          <w:rFonts w:hint="default"/>
          <w:color w:val="auto"/>
          <w:vertAlign w:val="superscript"/>
          <w:lang w:val="en-US" w:eastAsia="zh-CN"/>
        </w:rPr>
        <w:t>3</w:t>
      </w:r>
      <w:r>
        <w:rPr>
          <w:rFonts w:hint="default"/>
          <w:color w:val="auto"/>
          <w:lang w:val="en-US" w:eastAsia="zh-CN"/>
        </w:rPr>
        <w:t>，结构面抗剪强度值为C=130kPa、内摩擦角值为φ=33</w:t>
      </w:r>
      <w:r>
        <w:rPr>
          <w:rFonts w:hint="eastAsia" w:ascii="宋体" w:hAnsi="宋体" w:eastAsia="宋体" w:cs="宋体"/>
          <w:color w:val="auto"/>
          <w:lang w:val="en-US" w:eastAsia="zh-CN"/>
        </w:rPr>
        <w:t>°</w:t>
      </w:r>
      <w:r>
        <w:rPr>
          <w:rFonts w:hint="default"/>
          <w:color w:val="auto"/>
          <w:lang w:val="en-US" w:eastAsia="zh-CN"/>
        </w:rPr>
        <w:t>。</w:t>
      </w:r>
    </w:p>
    <w:p w14:paraId="75D3AC07">
      <w:pPr>
        <w:rPr>
          <w:rFonts w:hint="default"/>
          <w:color w:val="auto"/>
          <w:lang w:val="en-US" w:eastAsia="zh-CN"/>
        </w:rPr>
      </w:pPr>
      <w:r>
        <w:rPr>
          <w:rFonts w:hint="eastAsia"/>
          <w:color w:val="auto"/>
          <w:lang w:val="en-US" w:eastAsia="zh-CN"/>
        </w:rPr>
        <w:t xml:space="preserve">4. </w:t>
      </w:r>
      <w:r>
        <w:rPr>
          <w:rFonts w:hint="default"/>
          <w:color w:val="auto"/>
          <w:lang w:val="en-US" w:eastAsia="zh-CN"/>
        </w:rPr>
        <w:t>边坡稳定性分析方法</w:t>
      </w:r>
    </w:p>
    <w:p w14:paraId="1E870154">
      <w:pPr>
        <w:rPr>
          <w:rFonts w:hint="default"/>
          <w:color w:val="auto"/>
          <w:lang w:val="en-US" w:eastAsia="zh-CN"/>
        </w:rPr>
      </w:pPr>
      <w:r>
        <w:rPr>
          <w:rFonts w:hint="default"/>
          <w:color w:val="auto"/>
          <w:lang w:val="en-US" w:eastAsia="zh-CN"/>
        </w:rPr>
        <w:t>大量研究和工程实践证实，在边坡稳定性分析中，使用Spencer法、Bishop</w:t>
      </w:r>
      <w:r>
        <w:rPr>
          <w:rFonts w:hint="eastAsia"/>
          <w:color w:val="auto"/>
          <w:lang w:val="en-US" w:eastAsia="zh-CN"/>
        </w:rPr>
        <w:t>和</w:t>
      </w:r>
      <w:r>
        <w:rPr>
          <w:rFonts w:hint="default"/>
          <w:color w:val="auto"/>
          <w:lang w:val="en-US" w:eastAsia="zh-CN"/>
        </w:rPr>
        <w:t>Morgenstern</w:t>
      </w:r>
      <w:r>
        <w:rPr>
          <w:rFonts w:hint="eastAsia" w:ascii="宋体" w:hAnsi="宋体" w:eastAsia="宋体" w:cs="宋体"/>
          <w:color w:val="auto"/>
          <w:lang w:val="en-US" w:eastAsia="zh-CN"/>
        </w:rPr>
        <w:t>-</w:t>
      </w:r>
      <w:r>
        <w:rPr>
          <w:rFonts w:hint="default"/>
          <w:color w:val="auto"/>
          <w:lang w:val="en-US" w:eastAsia="zh-CN"/>
        </w:rPr>
        <w:t>Price法等极限平衡条分法得到的稳定性系数较合理和可靠。这三种计算方法的假设条件和侧重点各有不同，由于Morgenstern</w:t>
      </w:r>
      <w:r>
        <w:rPr>
          <w:rFonts w:hint="eastAsia" w:ascii="宋体" w:hAnsi="宋体" w:eastAsia="宋体" w:cs="宋体"/>
          <w:color w:val="auto"/>
          <w:lang w:val="en-US" w:eastAsia="zh-CN"/>
        </w:rPr>
        <w:t>-</w:t>
      </w:r>
      <w:r>
        <w:rPr>
          <w:rFonts w:hint="default"/>
          <w:color w:val="auto"/>
          <w:lang w:val="en-US" w:eastAsia="zh-CN"/>
        </w:rPr>
        <w:t>Price法考虑了全部平衡条件和边界条件，与边坡所处的实际状况误差较小，因此本次分析评价采用Morgenstern</w:t>
      </w:r>
      <w:r>
        <w:rPr>
          <w:rFonts w:hint="eastAsia" w:ascii="宋体" w:hAnsi="宋体" w:eastAsia="宋体" w:cs="宋体"/>
          <w:color w:val="auto"/>
          <w:lang w:val="en-US" w:eastAsia="zh-CN"/>
        </w:rPr>
        <w:t>-</w:t>
      </w:r>
      <w:r>
        <w:rPr>
          <w:rFonts w:hint="default"/>
          <w:color w:val="auto"/>
          <w:lang w:val="en-US" w:eastAsia="zh-CN"/>
        </w:rPr>
        <w:t>Price法，下面对该方法作简要介绍</w:t>
      </w:r>
      <w:r>
        <w:rPr>
          <w:rFonts w:hint="eastAsia"/>
          <w:color w:val="auto"/>
          <w:lang w:val="en-US" w:eastAsia="zh-CN"/>
        </w:rPr>
        <w:t>：</w:t>
      </w:r>
    </w:p>
    <w:p w14:paraId="3229FC91">
      <w:pPr>
        <w:rPr>
          <w:rFonts w:hint="default"/>
          <w:color w:val="auto"/>
          <w:lang w:val="en-US" w:eastAsia="zh-CN"/>
        </w:rPr>
      </w:pPr>
      <w:r>
        <w:rPr>
          <w:rFonts w:hint="default"/>
          <w:color w:val="auto"/>
          <w:lang w:val="en-US" w:eastAsia="zh-CN"/>
        </w:rPr>
        <w:t>如图</w:t>
      </w:r>
      <w:r>
        <w:rPr>
          <w:rFonts w:hint="eastAsia"/>
          <w:color w:val="auto"/>
          <w:lang w:val="en-US" w:eastAsia="zh-CN"/>
        </w:rPr>
        <w:t>2.4-1</w:t>
      </w:r>
      <w:r>
        <w:rPr>
          <w:rFonts w:hint="default"/>
          <w:color w:val="auto"/>
          <w:lang w:val="en-US" w:eastAsia="zh-CN"/>
        </w:rPr>
        <w:t>所示，Morgenstern</w:t>
      </w:r>
      <w:r>
        <w:rPr>
          <w:rFonts w:hint="eastAsia" w:ascii="宋体" w:hAnsi="宋体" w:eastAsia="宋体" w:cs="宋体"/>
          <w:color w:val="auto"/>
          <w:lang w:val="en-US" w:eastAsia="zh-CN"/>
        </w:rPr>
        <w:t>-</w:t>
      </w:r>
      <w:r>
        <w:rPr>
          <w:rFonts w:hint="default"/>
          <w:color w:val="auto"/>
          <w:lang w:val="en-US" w:eastAsia="zh-CN"/>
        </w:rPr>
        <w:t>Price法对任意曲线形状的滑裂面进行了分析，导出了满足力的平衡及力矩平衡条件的微分方程式，然后假定两相邻条块法向条间力和切向条间力之间存在对水平方向坐标的函数关系，根据整体滑动边坡体块的边界条件求出问题的解答。</w:t>
      </w:r>
    </w:p>
    <w:p w14:paraId="60442E8C">
      <w:pPr>
        <w:ind w:left="0" w:leftChars="0" w:firstLine="0" w:firstLineChars="0"/>
        <w:jc w:val="center"/>
        <w:rPr>
          <w:rFonts w:hint="default" w:ascii="Times New Roman" w:hAnsi="Times New Roman" w:eastAsia="仿宋_GB2312" w:cs="Times New Roman"/>
          <w:color w:val="auto"/>
          <w:kern w:val="0"/>
          <w:sz w:val="28"/>
          <w:szCs w:val="28"/>
          <w:lang w:val="en-US" w:eastAsia="zh-CN" w:bidi="ar"/>
        </w:rPr>
      </w:pPr>
      <w:r>
        <w:rPr>
          <w:rFonts w:hint="default" w:ascii="Times New Roman" w:hAnsi="Times New Roman" w:eastAsia="仿宋_GB2312" w:cs="Times New Roman"/>
          <w:color w:val="auto"/>
          <w:kern w:val="0"/>
          <w:sz w:val="28"/>
          <w:szCs w:val="28"/>
          <w:lang w:val="en-US" w:eastAsia="zh-CN" w:bidi="ar"/>
        </w:rPr>
        <w:drawing>
          <wp:inline distT="0" distB="0" distL="114300" distR="114300">
            <wp:extent cx="5400040" cy="1828165"/>
            <wp:effectExtent l="0" t="0" r="10160" b="635"/>
            <wp:docPr id="3"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0"/>
                    <pic:cNvPicPr>
                      <a:picLocks noChangeAspect="1"/>
                    </pic:cNvPicPr>
                  </pic:nvPicPr>
                  <pic:blipFill>
                    <a:blip r:embed="rId10"/>
                    <a:stretch>
                      <a:fillRect/>
                    </a:stretch>
                  </pic:blipFill>
                  <pic:spPr>
                    <a:xfrm>
                      <a:off x="0" y="0"/>
                      <a:ext cx="5400040" cy="1828165"/>
                    </a:xfrm>
                    <a:prstGeom prst="rect">
                      <a:avLst/>
                    </a:prstGeom>
                    <a:noFill/>
                    <a:ln>
                      <a:noFill/>
                    </a:ln>
                  </pic:spPr>
                </pic:pic>
              </a:graphicData>
            </a:graphic>
          </wp:inline>
        </w:drawing>
      </w:r>
    </w:p>
    <w:p w14:paraId="2F76B5E2">
      <w:pPr>
        <w:bidi w:val="0"/>
        <w:ind w:left="0" w:leftChars="0" w:firstLine="0" w:firstLineChars="0"/>
        <w:jc w:val="center"/>
        <w:rPr>
          <w:rFonts w:hint="default"/>
          <w:color w:val="auto"/>
          <w:lang w:val="en-US" w:eastAsia="zh-CN"/>
        </w:rPr>
      </w:pPr>
      <w:r>
        <w:rPr>
          <w:rFonts w:hint="default"/>
          <w:color w:val="auto"/>
          <w:lang w:val="en-US" w:eastAsia="zh-CN"/>
        </w:rPr>
        <w:t>图</w:t>
      </w:r>
      <w:r>
        <w:rPr>
          <w:rFonts w:hint="eastAsia"/>
          <w:color w:val="auto"/>
          <w:lang w:val="en-US" w:eastAsia="zh-CN"/>
        </w:rPr>
        <w:t xml:space="preserve">2.4-1   </w:t>
      </w:r>
      <w:r>
        <w:rPr>
          <w:rFonts w:hint="default"/>
          <w:color w:val="auto"/>
          <w:lang w:val="en-US" w:eastAsia="zh-CN"/>
        </w:rPr>
        <w:t>Morgenstern</w:t>
      </w:r>
      <w:r>
        <w:rPr>
          <w:rFonts w:hint="eastAsia" w:ascii="宋体" w:hAnsi="宋体" w:eastAsia="宋体" w:cs="宋体"/>
          <w:color w:val="auto"/>
          <w:lang w:val="en-US" w:eastAsia="zh-CN"/>
        </w:rPr>
        <w:t>-</w:t>
      </w:r>
      <w:r>
        <w:rPr>
          <w:rFonts w:hint="default"/>
          <w:color w:val="auto"/>
          <w:lang w:val="en-US" w:eastAsia="zh-CN"/>
        </w:rPr>
        <w:t>Price法示意图</w:t>
      </w:r>
    </w:p>
    <w:p w14:paraId="282993E9">
      <w:pPr>
        <w:rPr>
          <w:rFonts w:hint="default"/>
          <w:color w:val="auto"/>
          <w:lang w:val="en-US" w:eastAsia="zh-CN"/>
        </w:rPr>
      </w:pPr>
      <w:r>
        <w:rPr>
          <w:rFonts w:hint="eastAsia"/>
          <w:color w:val="auto"/>
          <w:lang w:val="en-US" w:eastAsia="zh-CN"/>
        </w:rPr>
        <w:t xml:space="preserve">5. </w:t>
      </w:r>
      <w:r>
        <w:rPr>
          <w:rFonts w:hint="default"/>
          <w:color w:val="auto"/>
          <w:lang w:val="en-US" w:eastAsia="zh-CN"/>
        </w:rPr>
        <w:t>软件介绍</w:t>
      </w:r>
    </w:p>
    <w:p w14:paraId="67091D77">
      <w:pPr>
        <w:rPr>
          <w:rFonts w:hint="default"/>
          <w:color w:val="auto"/>
          <w:lang w:val="en-US" w:eastAsia="zh-CN"/>
        </w:rPr>
      </w:pPr>
      <w:r>
        <w:rPr>
          <w:rFonts w:hint="default"/>
          <w:color w:val="auto"/>
          <w:lang w:val="en-US" w:eastAsia="zh-CN"/>
        </w:rPr>
        <w:t>Geo</w:t>
      </w:r>
      <w:r>
        <w:rPr>
          <w:rFonts w:hint="eastAsia" w:ascii="宋体" w:hAnsi="宋体" w:eastAsia="宋体" w:cs="宋体"/>
          <w:color w:val="auto"/>
          <w:lang w:val="en-US" w:eastAsia="zh-CN"/>
        </w:rPr>
        <w:t>-</w:t>
      </w:r>
      <w:r>
        <w:rPr>
          <w:rFonts w:hint="default"/>
          <w:color w:val="auto"/>
          <w:lang w:val="en-US" w:eastAsia="zh-CN"/>
        </w:rPr>
        <w:t>Studio系统软件是上世纪70年代由全球著名的加拿大岩土软件开发商Geo</w:t>
      </w:r>
      <w:r>
        <w:rPr>
          <w:rFonts w:hint="eastAsia" w:ascii="宋体" w:hAnsi="宋体" w:eastAsia="宋体" w:cs="宋体"/>
          <w:color w:val="auto"/>
          <w:lang w:val="en-US" w:eastAsia="zh-CN"/>
        </w:rPr>
        <w:t>-</w:t>
      </w:r>
      <w:r>
        <w:rPr>
          <w:rFonts w:hint="default"/>
          <w:color w:val="auto"/>
          <w:lang w:val="en-US" w:eastAsia="zh-CN"/>
        </w:rPr>
        <w:t>Slope公司开发的一套知名的岩土工程分析软件。该系统分析软件主要面向各行各业进行仿真分析，主要涉及领域包括岩土、地质、采矿、水利、交通、环境工程等。Geo</w:t>
      </w:r>
      <w:r>
        <w:rPr>
          <w:rFonts w:hint="eastAsia" w:ascii="宋体" w:hAnsi="宋体" w:eastAsia="宋体" w:cs="宋体"/>
          <w:color w:val="auto"/>
          <w:lang w:val="en-US" w:eastAsia="zh-CN"/>
        </w:rPr>
        <w:t>-</w:t>
      </w:r>
      <w:r>
        <w:rPr>
          <w:rFonts w:hint="default"/>
          <w:color w:val="auto"/>
          <w:lang w:val="en-US" w:eastAsia="zh-CN"/>
        </w:rPr>
        <w:t>Studio系统软件主要包括八个专业模块，各模块之前紧密结合，各有特点，各模块可独立完成分析，不同模块之间的数据也可以相互调用。本文主要使用边坡稳定分析模块（SLOPE/W）。</w:t>
      </w:r>
    </w:p>
    <w:p w14:paraId="50DE55C1">
      <w:pPr>
        <w:rPr>
          <w:rFonts w:hint="default"/>
          <w:color w:val="auto"/>
          <w:lang w:val="en-US" w:eastAsia="zh-CN"/>
        </w:rPr>
      </w:pPr>
      <w:r>
        <w:rPr>
          <w:rFonts w:hint="default"/>
          <w:color w:val="auto"/>
          <w:lang w:val="en-US" w:eastAsia="zh-CN"/>
        </w:rPr>
        <w:t>SLOPE/W模块可以计算边坡的安全系数，分析边坡滑移面位置及滑移面形状改变情况等。SLOPE/W模块的主要特点有：</w:t>
      </w:r>
    </w:p>
    <w:p w14:paraId="285B2657">
      <w:pPr>
        <w:rPr>
          <w:rFonts w:hint="default"/>
          <w:color w:val="auto"/>
          <w:lang w:val="en-US" w:eastAsia="zh-CN"/>
        </w:rPr>
      </w:pPr>
      <w:r>
        <w:rPr>
          <w:rFonts w:hint="eastAsia"/>
          <w:color w:val="auto"/>
          <w:lang w:val="en-US" w:eastAsia="zh-CN"/>
        </w:rPr>
        <w:t>（</w:t>
      </w:r>
      <w:r>
        <w:rPr>
          <w:rFonts w:hint="default"/>
          <w:color w:val="auto"/>
          <w:lang w:val="en-US" w:eastAsia="zh-CN"/>
        </w:rPr>
        <w:t>1</w:t>
      </w:r>
      <w:r>
        <w:rPr>
          <w:rFonts w:hint="eastAsia"/>
          <w:color w:val="auto"/>
          <w:lang w:val="en-US" w:eastAsia="zh-CN"/>
        </w:rPr>
        <w:t>）</w:t>
      </w:r>
      <w:r>
        <w:rPr>
          <w:rFonts w:hint="default"/>
          <w:color w:val="auto"/>
          <w:lang w:val="en-US" w:eastAsia="zh-CN"/>
        </w:rPr>
        <w:t>操作方便、简单、容易建模，可直接导入AUTOCAD底图建模，节省绘图时间；</w:t>
      </w:r>
    </w:p>
    <w:p w14:paraId="0AD6784F">
      <w:pPr>
        <w:rPr>
          <w:rFonts w:hint="default"/>
          <w:color w:val="auto"/>
          <w:lang w:val="en-US" w:eastAsia="zh-CN"/>
        </w:rPr>
      </w:pPr>
      <w:r>
        <w:rPr>
          <w:rFonts w:hint="eastAsia"/>
          <w:color w:val="auto"/>
          <w:lang w:val="en-US" w:eastAsia="zh-CN"/>
        </w:rPr>
        <w:t>（</w:t>
      </w:r>
      <w:r>
        <w:rPr>
          <w:rFonts w:hint="default"/>
          <w:color w:val="auto"/>
          <w:lang w:val="en-US" w:eastAsia="zh-CN"/>
        </w:rPr>
        <w:t>2</w:t>
      </w:r>
      <w:r>
        <w:rPr>
          <w:rFonts w:hint="eastAsia"/>
          <w:color w:val="auto"/>
          <w:lang w:val="en-US" w:eastAsia="zh-CN"/>
        </w:rPr>
        <w:t>）</w:t>
      </w:r>
      <w:r>
        <w:rPr>
          <w:rFonts w:hint="default"/>
          <w:color w:val="auto"/>
          <w:lang w:val="en-US" w:eastAsia="zh-CN"/>
        </w:rPr>
        <w:t>SLOPE/W模块能分析、计算有孔隙水压问题的研究对象；</w:t>
      </w:r>
    </w:p>
    <w:p w14:paraId="3600A25F">
      <w:pPr>
        <w:rPr>
          <w:rFonts w:hint="default"/>
          <w:color w:val="auto"/>
          <w:lang w:val="en-US" w:eastAsia="zh-CN"/>
        </w:rPr>
      </w:pPr>
      <w:r>
        <w:rPr>
          <w:rFonts w:hint="eastAsia"/>
          <w:color w:val="auto"/>
          <w:lang w:val="en-US" w:eastAsia="zh-CN"/>
        </w:rPr>
        <w:t>（</w:t>
      </w:r>
      <w:r>
        <w:rPr>
          <w:rFonts w:hint="default"/>
          <w:color w:val="auto"/>
          <w:lang w:val="en-US" w:eastAsia="zh-CN"/>
        </w:rPr>
        <w:t>3</w:t>
      </w:r>
      <w:r>
        <w:rPr>
          <w:rFonts w:hint="eastAsia"/>
          <w:color w:val="auto"/>
          <w:lang w:val="en-US" w:eastAsia="zh-CN"/>
        </w:rPr>
        <w:t>）</w:t>
      </w:r>
      <w:r>
        <w:rPr>
          <w:rFonts w:hint="default"/>
          <w:color w:val="auto"/>
          <w:lang w:val="en-US" w:eastAsia="zh-CN"/>
        </w:rPr>
        <w:t>SLOPE/W模块可以采用蒙特卡洛法来分析边坡可靠度，分析计算边坡破坏概率。</w:t>
      </w:r>
    </w:p>
    <w:p w14:paraId="5AB661D0">
      <w:pPr>
        <w:rPr>
          <w:rFonts w:hint="default"/>
          <w:color w:val="auto"/>
          <w:lang w:val="en-US" w:eastAsia="zh-CN"/>
        </w:rPr>
      </w:pPr>
      <w:r>
        <w:rPr>
          <w:rFonts w:hint="eastAsia"/>
          <w:color w:val="auto"/>
          <w:lang w:val="en-US" w:eastAsia="zh-CN"/>
        </w:rPr>
        <w:t xml:space="preserve">6. </w:t>
      </w:r>
      <w:r>
        <w:rPr>
          <w:rFonts w:hint="default"/>
          <w:color w:val="auto"/>
          <w:lang w:val="en-US" w:eastAsia="zh-CN"/>
        </w:rPr>
        <w:t>边坡稳定性计算</w:t>
      </w:r>
    </w:p>
    <w:p w14:paraId="71D1C048">
      <w:pPr>
        <w:rPr>
          <w:rFonts w:hint="default"/>
          <w:color w:val="auto"/>
          <w:lang w:val="en-US" w:eastAsia="zh-CN"/>
        </w:rPr>
      </w:pPr>
      <w:r>
        <w:rPr>
          <w:rFonts w:hint="default"/>
          <w:color w:val="auto"/>
          <w:lang w:val="en-US" w:eastAsia="zh-CN"/>
        </w:rPr>
        <w:t>采用Morgenstern</w:t>
      </w:r>
      <w:r>
        <w:rPr>
          <w:rFonts w:hint="eastAsia" w:ascii="宋体" w:hAnsi="宋体" w:eastAsia="宋体" w:cs="宋体"/>
          <w:color w:val="auto"/>
          <w:lang w:val="en-US" w:eastAsia="zh-CN"/>
        </w:rPr>
        <w:t>-</w:t>
      </w:r>
      <w:r>
        <w:rPr>
          <w:rFonts w:hint="default"/>
          <w:color w:val="auto"/>
          <w:lang w:val="en-US" w:eastAsia="zh-CN"/>
        </w:rPr>
        <w:t>Price法，对矿区北侧边坡1-1</w:t>
      </w:r>
      <w:r>
        <w:rPr>
          <w:rFonts w:hint="eastAsia" w:ascii="宋体" w:hAnsi="宋体" w:cs="宋体"/>
          <w:color w:val="auto"/>
          <w:lang w:val="en-US" w:eastAsia="zh-CN"/>
        </w:rPr>
        <w:t>′</w:t>
      </w:r>
      <w:r>
        <w:rPr>
          <w:rFonts w:hint="default"/>
          <w:color w:val="auto"/>
          <w:lang w:val="en-US" w:eastAsia="zh-CN"/>
        </w:rPr>
        <w:t>剖面、2-2</w:t>
      </w:r>
      <w:r>
        <w:rPr>
          <w:rFonts w:hint="eastAsia" w:ascii="宋体" w:hAnsi="宋体" w:cs="宋体"/>
          <w:color w:val="auto"/>
          <w:lang w:val="en-US" w:eastAsia="zh-CN"/>
        </w:rPr>
        <w:t>′</w:t>
      </w:r>
      <w:r>
        <w:rPr>
          <w:rFonts w:hint="default"/>
          <w:color w:val="auto"/>
          <w:lang w:val="en-US" w:eastAsia="zh-CN"/>
        </w:rPr>
        <w:t>剖面、3-3</w:t>
      </w:r>
      <w:r>
        <w:rPr>
          <w:rFonts w:hint="eastAsia" w:ascii="宋体" w:hAnsi="宋体" w:cs="宋体"/>
          <w:color w:val="auto"/>
          <w:lang w:val="en-US" w:eastAsia="zh-CN"/>
        </w:rPr>
        <w:t>′</w:t>
      </w:r>
      <w:r>
        <w:rPr>
          <w:rFonts w:hint="default"/>
          <w:color w:val="auto"/>
          <w:lang w:val="en-US" w:eastAsia="zh-CN"/>
        </w:rPr>
        <w:t>剖面进行</w:t>
      </w:r>
      <w:r>
        <w:rPr>
          <w:rFonts w:hint="eastAsia"/>
          <w:color w:val="auto"/>
          <w:lang w:val="en-US" w:eastAsia="zh-CN"/>
        </w:rPr>
        <w:t>“</w:t>
      </w:r>
      <w:r>
        <w:rPr>
          <w:rFonts w:hint="default"/>
          <w:color w:val="auto"/>
          <w:lang w:val="en-US" w:eastAsia="zh-CN"/>
        </w:rPr>
        <w:t>自重+地下水</w:t>
      </w:r>
      <w:r>
        <w:rPr>
          <w:rFonts w:hint="eastAsia"/>
          <w:color w:val="auto"/>
          <w:lang w:val="en-US" w:eastAsia="zh-CN"/>
        </w:rPr>
        <w:t>”</w:t>
      </w:r>
      <w:r>
        <w:rPr>
          <w:rFonts w:hint="default"/>
          <w:color w:val="auto"/>
          <w:lang w:val="en-US" w:eastAsia="zh-CN"/>
        </w:rPr>
        <w:t>和</w:t>
      </w:r>
      <w:r>
        <w:rPr>
          <w:rFonts w:hint="eastAsia"/>
          <w:color w:val="auto"/>
          <w:lang w:val="en-US" w:eastAsia="zh-CN"/>
        </w:rPr>
        <w:t>“</w:t>
      </w:r>
      <w:r>
        <w:rPr>
          <w:rFonts w:hint="default"/>
          <w:color w:val="auto"/>
          <w:lang w:val="en-US" w:eastAsia="zh-CN"/>
        </w:rPr>
        <w:t>自重+地下水+爆破振动力</w:t>
      </w:r>
      <w:r>
        <w:rPr>
          <w:rFonts w:hint="eastAsia"/>
          <w:color w:val="auto"/>
          <w:lang w:val="en-US" w:eastAsia="zh-CN"/>
        </w:rPr>
        <w:t>”</w:t>
      </w:r>
      <w:r>
        <w:rPr>
          <w:rFonts w:hint="default"/>
          <w:color w:val="auto"/>
          <w:lang w:val="en-US" w:eastAsia="zh-CN"/>
        </w:rPr>
        <w:t>两种工况的边坡稳定系数计算，计算结果如图</w:t>
      </w:r>
      <w:r>
        <w:rPr>
          <w:rFonts w:hint="eastAsia"/>
          <w:color w:val="auto"/>
          <w:lang w:val="en-US" w:eastAsia="zh-CN"/>
        </w:rPr>
        <w:t>2.4</w:t>
      </w:r>
      <w:r>
        <w:rPr>
          <w:rFonts w:hint="default"/>
          <w:color w:val="auto"/>
          <w:lang w:val="en-US" w:eastAsia="zh-CN"/>
        </w:rPr>
        <w:t>-2至图</w:t>
      </w:r>
      <w:r>
        <w:rPr>
          <w:rFonts w:hint="eastAsia"/>
          <w:color w:val="auto"/>
          <w:lang w:val="en-US" w:eastAsia="zh-CN"/>
        </w:rPr>
        <w:t>2.4</w:t>
      </w:r>
      <w:r>
        <w:rPr>
          <w:rFonts w:hint="default"/>
          <w:color w:val="auto"/>
          <w:lang w:val="en-US" w:eastAsia="zh-CN"/>
        </w:rPr>
        <w:t>-7所示。</w:t>
      </w:r>
    </w:p>
    <w:p w14:paraId="448CBD13">
      <w:pPr>
        <w:ind w:left="0" w:leftChars="0" w:firstLine="0" w:firstLineChars="0"/>
        <w:jc w:val="center"/>
        <w:rPr>
          <w:color w:val="auto"/>
        </w:rPr>
      </w:pPr>
      <w:r>
        <w:rPr>
          <w:color w:val="auto"/>
        </w:rPr>
        <w:drawing>
          <wp:inline distT="0" distB="0" distL="114300" distR="114300">
            <wp:extent cx="4319905" cy="4022725"/>
            <wp:effectExtent l="0" t="0" r="4445" b="15875"/>
            <wp:docPr id="5"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8"/>
                    <pic:cNvPicPr>
                      <a:picLocks noChangeAspect="1"/>
                    </pic:cNvPicPr>
                  </pic:nvPicPr>
                  <pic:blipFill>
                    <a:blip r:embed="rId11"/>
                    <a:stretch>
                      <a:fillRect/>
                    </a:stretch>
                  </pic:blipFill>
                  <pic:spPr>
                    <a:xfrm>
                      <a:off x="0" y="0"/>
                      <a:ext cx="4319905" cy="4022725"/>
                    </a:xfrm>
                    <a:prstGeom prst="rect">
                      <a:avLst/>
                    </a:prstGeom>
                    <a:noFill/>
                    <a:ln>
                      <a:noFill/>
                    </a:ln>
                  </pic:spPr>
                </pic:pic>
              </a:graphicData>
            </a:graphic>
          </wp:inline>
        </w:drawing>
      </w:r>
    </w:p>
    <w:p w14:paraId="18B2B69F">
      <w:pPr>
        <w:ind w:left="0" w:leftChars="0" w:firstLine="0" w:firstLineChars="0"/>
        <w:jc w:val="center"/>
        <w:rPr>
          <w:rFonts w:hint="default"/>
          <w:color w:val="auto"/>
          <w:lang w:val="en-US" w:eastAsia="zh-CN"/>
        </w:rPr>
      </w:pPr>
      <w:r>
        <w:rPr>
          <w:rFonts w:hint="default"/>
          <w:color w:val="auto"/>
          <w:lang w:val="en-US" w:eastAsia="zh-CN"/>
        </w:rPr>
        <w:t>图</w:t>
      </w:r>
      <w:r>
        <w:rPr>
          <w:rFonts w:hint="eastAsia"/>
          <w:color w:val="auto"/>
          <w:lang w:val="en-US" w:eastAsia="zh-CN"/>
        </w:rPr>
        <w:t>2.4</w:t>
      </w:r>
      <w:r>
        <w:rPr>
          <w:rFonts w:hint="default"/>
          <w:color w:val="auto"/>
          <w:lang w:val="en-US" w:eastAsia="zh-CN"/>
        </w:rPr>
        <w:t>-2</w:t>
      </w:r>
      <w:r>
        <w:rPr>
          <w:rFonts w:hint="eastAsia"/>
          <w:color w:val="auto"/>
          <w:lang w:val="en-US" w:eastAsia="zh-CN"/>
        </w:rPr>
        <w:t xml:space="preserve">   </w:t>
      </w:r>
      <w:r>
        <w:rPr>
          <w:rFonts w:hint="default"/>
          <w:color w:val="auto"/>
          <w:lang w:val="en-US" w:eastAsia="zh-CN"/>
        </w:rPr>
        <w:t>1-1</w:t>
      </w:r>
      <w:r>
        <w:rPr>
          <w:rFonts w:hint="eastAsia" w:ascii="宋体" w:hAnsi="宋体" w:cs="宋体"/>
          <w:color w:val="auto"/>
          <w:lang w:val="en-US" w:eastAsia="zh-CN"/>
        </w:rPr>
        <w:t>′</w:t>
      </w:r>
      <w:r>
        <w:rPr>
          <w:rFonts w:hint="default"/>
          <w:color w:val="auto"/>
          <w:lang w:val="en-US" w:eastAsia="zh-CN"/>
        </w:rPr>
        <w:t>剖面自重+地下水工况下稳定性计算图</w:t>
      </w:r>
    </w:p>
    <w:p w14:paraId="7E6515FE">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color w:val="auto"/>
          <w:lang w:val="en-US" w:eastAsia="zh-CN"/>
        </w:rPr>
      </w:pPr>
      <w:r>
        <w:rPr>
          <w:color w:val="auto"/>
        </w:rPr>
        <w:drawing>
          <wp:inline distT="0" distB="0" distL="114300" distR="114300">
            <wp:extent cx="4319905" cy="4037330"/>
            <wp:effectExtent l="0" t="0" r="4445" b="1270"/>
            <wp:docPr id="1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7"/>
                    <pic:cNvPicPr>
                      <a:picLocks noChangeAspect="1"/>
                    </pic:cNvPicPr>
                  </pic:nvPicPr>
                  <pic:blipFill>
                    <a:blip r:embed="rId12"/>
                    <a:stretch>
                      <a:fillRect/>
                    </a:stretch>
                  </pic:blipFill>
                  <pic:spPr>
                    <a:xfrm>
                      <a:off x="0" y="0"/>
                      <a:ext cx="4319905" cy="4037330"/>
                    </a:xfrm>
                    <a:prstGeom prst="rect">
                      <a:avLst/>
                    </a:prstGeom>
                    <a:noFill/>
                    <a:ln>
                      <a:noFill/>
                    </a:ln>
                  </pic:spPr>
                </pic:pic>
              </a:graphicData>
            </a:graphic>
          </wp:inline>
        </w:drawing>
      </w:r>
    </w:p>
    <w:p w14:paraId="1492921D">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color w:val="auto"/>
          <w:lang w:val="en-US" w:eastAsia="zh-CN"/>
        </w:rPr>
      </w:pPr>
      <w:r>
        <w:rPr>
          <w:rFonts w:hint="default"/>
          <w:color w:val="auto"/>
          <w:lang w:val="en-US" w:eastAsia="zh-CN"/>
        </w:rPr>
        <w:t>图</w:t>
      </w:r>
      <w:r>
        <w:rPr>
          <w:rFonts w:hint="eastAsia"/>
          <w:color w:val="auto"/>
          <w:lang w:val="en-US" w:eastAsia="zh-CN"/>
        </w:rPr>
        <w:t>2.4</w:t>
      </w:r>
      <w:r>
        <w:rPr>
          <w:rFonts w:hint="default"/>
          <w:color w:val="auto"/>
          <w:lang w:val="en-US" w:eastAsia="zh-CN"/>
        </w:rPr>
        <w:t>-</w:t>
      </w:r>
      <w:r>
        <w:rPr>
          <w:rFonts w:hint="eastAsia"/>
          <w:color w:val="auto"/>
          <w:lang w:val="en-US" w:eastAsia="zh-CN"/>
        </w:rPr>
        <w:t xml:space="preserve">3   </w:t>
      </w:r>
      <w:r>
        <w:rPr>
          <w:rFonts w:hint="default"/>
          <w:color w:val="auto"/>
          <w:lang w:val="en-US" w:eastAsia="zh-CN"/>
        </w:rPr>
        <w:t>1-1</w:t>
      </w:r>
      <w:r>
        <w:rPr>
          <w:rFonts w:hint="eastAsia" w:ascii="宋体" w:hAnsi="宋体" w:cs="宋体"/>
          <w:color w:val="auto"/>
          <w:lang w:val="en-US" w:eastAsia="zh-CN"/>
        </w:rPr>
        <w:t>′</w:t>
      </w:r>
      <w:r>
        <w:rPr>
          <w:rFonts w:hint="default"/>
          <w:color w:val="auto"/>
          <w:lang w:val="en-US" w:eastAsia="zh-CN"/>
        </w:rPr>
        <w:t>剖面自重+地下水+爆破振动力工况下稳定性计算图</w:t>
      </w:r>
    </w:p>
    <w:p w14:paraId="1A66ACEE">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color w:val="auto"/>
          <w:lang w:val="en-US" w:eastAsia="zh-CN"/>
        </w:rPr>
      </w:pPr>
      <w:r>
        <w:rPr>
          <w:color w:val="auto"/>
        </w:rPr>
        <w:drawing>
          <wp:inline distT="0" distB="0" distL="114300" distR="114300">
            <wp:extent cx="4696460" cy="3959860"/>
            <wp:effectExtent l="0" t="0" r="8890" b="2540"/>
            <wp:docPr id="6"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9"/>
                    <pic:cNvPicPr>
                      <a:picLocks noChangeAspect="1"/>
                    </pic:cNvPicPr>
                  </pic:nvPicPr>
                  <pic:blipFill>
                    <a:blip r:embed="rId13"/>
                    <a:stretch>
                      <a:fillRect/>
                    </a:stretch>
                  </pic:blipFill>
                  <pic:spPr>
                    <a:xfrm>
                      <a:off x="0" y="0"/>
                      <a:ext cx="4696460" cy="3959860"/>
                    </a:xfrm>
                    <a:prstGeom prst="rect">
                      <a:avLst/>
                    </a:prstGeom>
                    <a:noFill/>
                    <a:ln>
                      <a:noFill/>
                    </a:ln>
                  </pic:spPr>
                </pic:pic>
              </a:graphicData>
            </a:graphic>
          </wp:inline>
        </w:drawing>
      </w:r>
    </w:p>
    <w:p w14:paraId="6BC44108">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color w:val="auto"/>
          <w:lang w:val="en-US" w:eastAsia="zh-CN"/>
        </w:rPr>
      </w:pPr>
      <w:r>
        <w:rPr>
          <w:rFonts w:hint="default"/>
          <w:color w:val="auto"/>
          <w:lang w:val="en-US" w:eastAsia="zh-CN"/>
        </w:rPr>
        <w:t>图</w:t>
      </w:r>
      <w:r>
        <w:rPr>
          <w:rFonts w:hint="eastAsia"/>
          <w:color w:val="auto"/>
          <w:lang w:val="en-US" w:eastAsia="zh-CN"/>
        </w:rPr>
        <w:t>2.4</w:t>
      </w:r>
      <w:r>
        <w:rPr>
          <w:rFonts w:hint="default"/>
          <w:color w:val="auto"/>
          <w:lang w:val="en-US" w:eastAsia="zh-CN"/>
        </w:rPr>
        <w:t>-</w:t>
      </w:r>
      <w:r>
        <w:rPr>
          <w:rFonts w:hint="eastAsia"/>
          <w:color w:val="auto"/>
          <w:lang w:val="en-US" w:eastAsia="zh-CN"/>
        </w:rPr>
        <w:t xml:space="preserve">4   </w:t>
      </w:r>
      <w:r>
        <w:rPr>
          <w:rFonts w:hint="default"/>
          <w:color w:val="auto"/>
          <w:lang w:val="en-US" w:eastAsia="zh-CN"/>
        </w:rPr>
        <w:t>2-2</w:t>
      </w:r>
      <w:r>
        <w:rPr>
          <w:rFonts w:hint="eastAsia" w:ascii="宋体" w:hAnsi="宋体" w:cs="宋体"/>
          <w:color w:val="auto"/>
          <w:lang w:val="en-US" w:eastAsia="zh-CN"/>
        </w:rPr>
        <w:t>′</w:t>
      </w:r>
      <w:r>
        <w:rPr>
          <w:rFonts w:hint="default"/>
          <w:color w:val="auto"/>
          <w:lang w:val="en-US" w:eastAsia="zh-CN"/>
        </w:rPr>
        <w:t>剖面自重+地下水工况下稳定性计算图</w:t>
      </w:r>
    </w:p>
    <w:p w14:paraId="1223DAB4">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color w:val="auto"/>
          <w:lang w:val="en-US" w:eastAsia="zh-CN"/>
        </w:rPr>
      </w:pPr>
      <w:r>
        <w:rPr>
          <w:color w:val="auto"/>
        </w:rPr>
        <w:drawing>
          <wp:inline distT="0" distB="0" distL="114300" distR="114300">
            <wp:extent cx="4788535" cy="3959860"/>
            <wp:effectExtent l="0" t="0" r="12065" b="2540"/>
            <wp:docPr id="7"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3"/>
                    <pic:cNvPicPr>
                      <a:picLocks noChangeAspect="1"/>
                    </pic:cNvPicPr>
                  </pic:nvPicPr>
                  <pic:blipFill>
                    <a:blip r:embed="rId14"/>
                    <a:stretch>
                      <a:fillRect/>
                    </a:stretch>
                  </pic:blipFill>
                  <pic:spPr>
                    <a:xfrm>
                      <a:off x="0" y="0"/>
                      <a:ext cx="4788535" cy="3959860"/>
                    </a:xfrm>
                    <a:prstGeom prst="rect">
                      <a:avLst/>
                    </a:prstGeom>
                    <a:noFill/>
                    <a:ln>
                      <a:noFill/>
                    </a:ln>
                  </pic:spPr>
                </pic:pic>
              </a:graphicData>
            </a:graphic>
          </wp:inline>
        </w:drawing>
      </w:r>
    </w:p>
    <w:p w14:paraId="00324F0A">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color w:val="auto"/>
          <w:lang w:val="en-US" w:eastAsia="zh-CN"/>
        </w:rPr>
      </w:pPr>
      <w:r>
        <w:rPr>
          <w:rFonts w:hint="default"/>
          <w:color w:val="auto"/>
          <w:lang w:val="en-US" w:eastAsia="zh-CN"/>
        </w:rPr>
        <w:t>图</w:t>
      </w:r>
      <w:r>
        <w:rPr>
          <w:rFonts w:hint="eastAsia"/>
          <w:color w:val="auto"/>
          <w:lang w:val="en-US" w:eastAsia="zh-CN"/>
        </w:rPr>
        <w:t>2.4</w:t>
      </w:r>
      <w:r>
        <w:rPr>
          <w:rFonts w:hint="default"/>
          <w:color w:val="auto"/>
          <w:lang w:val="en-US" w:eastAsia="zh-CN"/>
        </w:rPr>
        <w:t>-</w:t>
      </w:r>
      <w:r>
        <w:rPr>
          <w:rFonts w:hint="eastAsia"/>
          <w:color w:val="auto"/>
          <w:lang w:val="en-US" w:eastAsia="zh-CN"/>
        </w:rPr>
        <w:t xml:space="preserve">5   </w:t>
      </w:r>
      <w:r>
        <w:rPr>
          <w:rFonts w:hint="default"/>
          <w:color w:val="auto"/>
          <w:lang w:val="en-US" w:eastAsia="zh-CN"/>
        </w:rPr>
        <w:t>2-2</w:t>
      </w:r>
      <w:r>
        <w:rPr>
          <w:rFonts w:hint="eastAsia" w:ascii="宋体" w:hAnsi="宋体" w:cs="宋体"/>
          <w:color w:val="auto"/>
          <w:lang w:val="en-US" w:eastAsia="zh-CN"/>
        </w:rPr>
        <w:t>′</w:t>
      </w:r>
      <w:r>
        <w:rPr>
          <w:rFonts w:hint="default"/>
          <w:color w:val="auto"/>
          <w:lang w:val="en-US" w:eastAsia="zh-CN"/>
        </w:rPr>
        <w:t>剖面自重+地下水+爆破振动力工况下稳定性计算图</w:t>
      </w:r>
    </w:p>
    <w:p w14:paraId="5814E072">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color w:val="auto"/>
          <w:lang w:val="en-US" w:eastAsia="zh-CN"/>
        </w:rPr>
      </w:pPr>
      <w:r>
        <w:rPr>
          <w:color w:val="auto"/>
        </w:rPr>
        <w:drawing>
          <wp:inline distT="0" distB="0" distL="114300" distR="114300">
            <wp:extent cx="4319905" cy="3987800"/>
            <wp:effectExtent l="0" t="0" r="4445" b="12700"/>
            <wp:docPr id="8"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0"/>
                    <pic:cNvPicPr>
                      <a:picLocks noChangeAspect="1"/>
                    </pic:cNvPicPr>
                  </pic:nvPicPr>
                  <pic:blipFill>
                    <a:blip r:embed="rId15"/>
                    <a:stretch>
                      <a:fillRect/>
                    </a:stretch>
                  </pic:blipFill>
                  <pic:spPr>
                    <a:xfrm>
                      <a:off x="0" y="0"/>
                      <a:ext cx="4319905" cy="3987800"/>
                    </a:xfrm>
                    <a:prstGeom prst="rect">
                      <a:avLst/>
                    </a:prstGeom>
                    <a:noFill/>
                    <a:ln>
                      <a:noFill/>
                    </a:ln>
                  </pic:spPr>
                </pic:pic>
              </a:graphicData>
            </a:graphic>
          </wp:inline>
        </w:drawing>
      </w:r>
    </w:p>
    <w:p w14:paraId="4C79163E">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color w:val="auto"/>
          <w:lang w:val="en-US" w:eastAsia="zh-CN"/>
        </w:rPr>
      </w:pPr>
      <w:r>
        <w:rPr>
          <w:rFonts w:hint="default"/>
          <w:color w:val="auto"/>
          <w:lang w:val="en-US" w:eastAsia="zh-CN"/>
        </w:rPr>
        <w:t>图</w:t>
      </w:r>
      <w:r>
        <w:rPr>
          <w:rFonts w:hint="eastAsia"/>
          <w:color w:val="auto"/>
          <w:lang w:val="en-US" w:eastAsia="zh-CN"/>
        </w:rPr>
        <w:t>2.4</w:t>
      </w:r>
      <w:r>
        <w:rPr>
          <w:rFonts w:hint="default"/>
          <w:color w:val="auto"/>
          <w:lang w:val="en-US" w:eastAsia="zh-CN"/>
        </w:rPr>
        <w:t>-</w:t>
      </w:r>
      <w:r>
        <w:rPr>
          <w:rFonts w:hint="eastAsia"/>
          <w:color w:val="auto"/>
          <w:lang w:val="en-US" w:eastAsia="zh-CN"/>
        </w:rPr>
        <w:t>6   3</w:t>
      </w:r>
      <w:r>
        <w:rPr>
          <w:rFonts w:hint="default"/>
          <w:color w:val="auto"/>
          <w:lang w:val="en-US" w:eastAsia="zh-CN"/>
        </w:rPr>
        <w:t>-</w:t>
      </w:r>
      <w:r>
        <w:rPr>
          <w:rFonts w:hint="eastAsia"/>
          <w:color w:val="auto"/>
          <w:lang w:val="en-US" w:eastAsia="zh-CN"/>
        </w:rPr>
        <w:t>3</w:t>
      </w:r>
      <w:r>
        <w:rPr>
          <w:rFonts w:hint="eastAsia" w:ascii="宋体" w:hAnsi="宋体" w:cs="宋体"/>
          <w:color w:val="auto"/>
          <w:lang w:val="en-US" w:eastAsia="zh-CN"/>
        </w:rPr>
        <w:t>′</w:t>
      </w:r>
      <w:r>
        <w:rPr>
          <w:rFonts w:hint="default"/>
          <w:color w:val="auto"/>
          <w:lang w:val="en-US" w:eastAsia="zh-CN"/>
        </w:rPr>
        <w:t>剖面自重+地下水工况下稳定性计算图</w:t>
      </w:r>
    </w:p>
    <w:p w14:paraId="7955CB4C">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color w:val="auto"/>
          <w:lang w:val="en-US" w:eastAsia="zh-CN"/>
        </w:rPr>
      </w:pPr>
      <w:r>
        <w:rPr>
          <w:color w:val="auto"/>
        </w:rPr>
        <w:drawing>
          <wp:inline distT="0" distB="0" distL="114300" distR="114300">
            <wp:extent cx="4319905" cy="3942715"/>
            <wp:effectExtent l="0" t="0" r="4445" b="635"/>
            <wp:docPr id="9"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2"/>
                    <pic:cNvPicPr>
                      <a:picLocks noChangeAspect="1"/>
                    </pic:cNvPicPr>
                  </pic:nvPicPr>
                  <pic:blipFill>
                    <a:blip r:embed="rId16"/>
                    <a:stretch>
                      <a:fillRect/>
                    </a:stretch>
                  </pic:blipFill>
                  <pic:spPr>
                    <a:xfrm>
                      <a:off x="0" y="0"/>
                      <a:ext cx="4319905" cy="3942715"/>
                    </a:xfrm>
                    <a:prstGeom prst="rect">
                      <a:avLst/>
                    </a:prstGeom>
                    <a:noFill/>
                    <a:ln>
                      <a:noFill/>
                    </a:ln>
                  </pic:spPr>
                </pic:pic>
              </a:graphicData>
            </a:graphic>
          </wp:inline>
        </w:drawing>
      </w:r>
    </w:p>
    <w:p w14:paraId="7BCC63D2">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color w:val="auto"/>
          <w:lang w:val="en-US" w:eastAsia="zh-CN"/>
        </w:rPr>
      </w:pPr>
      <w:r>
        <w:rPr>
          <w:rFonts w:hint="default"/>
          <w:color w:val="auto"/>
          <w:lang w:val="en-US" w:eastAsia="zh-CN"/>
        </w:rPr>
        <w:t>图</w:t>
      </w:r>
      <w:r>
        <w:rPr>
          <w:rFonts w:hint="eastAsia"/>
          <w:color w:val="auto"/>
          <w:lang w:val="en-US" w:eastAsia="zh-CN"/>
        </w:rPr>
        <w:t>2.4</w:t>
      </w:r>
      <w:r>
        <w:rPr>
          <w:rFonts w:hint="default"/>
          <w:color w:val="auto"/>
          <w:lang w:val="en-US" w:eastAsia="zh-CN"/>
        </w:rPr>
        <w:t>-</w:t>
      </w:r>
      <w:r>
        <w:rPr>
          <w:rFonts w:hint="eastAsia"/>
          <w:color w:val="auto"/>
          <w:lang w:val="en-US" w:eastAsia="zh-CN"/>
        </w:rPr>
        <w:t>7   3</w:t>
      </w:r>
      <w:r>
        <w:rPr>
          <w:rFonts w:hint="default"/>
          <w:color w:val="auto"/>
          <w:lang w:val="en-US" w:eastAsia="zh-CN"/>
        </w:rPr>
        <w:t>-</w:t>
      </w:r>
      <w:r>
        <w:rPr>
          <w:rFonts w:hint="eastAsia"/>
          <w:color w:val="auto"/>
          <w:lang w:val="en-US" w:eastAsia="zh-CN"/>
        </w:rPr>
        <w:t>3</w:t>
      </w:r>
      <w:r>
        <w:rPr>
          <w:rFonts w:hint="eastAsia" w:ascii="宋体" w:hAnsi="宋体" w:cs="宋体"/>
          <w:color w:val="auto"/>
          <w:lang w:val="en-US" w:eastAsia="zh-CN"/>
        </w:rPr>
        <w:t>′</w:t>
      </w:r>
      <w:r>
        <w:rPr>
          <w:rFonts w:hint="default"/>
          <w:color w:val="auto"/>
          <w:lang w:val="en-US" w:eastAsia="zh-CN"/>
        </w:rPr>
        <w:t>剖面自重+地下水+爆破振动力工况下稳定性计算图</w:t>
      </w:r>
    </w:p>
    <w:p w14:paraId="18D6331F">
      <w:pPr>
        <w:bidi w:val="0"/>
        <w:ind w:left="0" w:leftChars="0" w:firstLine="0" w:firstLineChars="0"/>
        <w:jc w:val="center"/>
        <w:rPr>
          <w:rFonts w:hint="default"/>
          <w:color w:val="auto"/>
          <w:lang w:val="en-US" w:eastAsia="zh-CN"/>
        </w:rPr>
      </w:pPr>
      <w:r>
        <w:rPr>
          <w:rFonts w:hint="eastAsia"/>
          <w:color w:val="auto"/>
          <w:lang w:val="en-US" w:eastAsia="zh-CN"/>
        </w:rPr>
        <w:t xml:space="preserve">表2.4-5 </w:t>
      </w:r>
      <w:r>
        <w:rPr>
          <w:rFonts w:hint="default"/>
          <w:color w:val="auto"/>
          <w:lang w:val="en-US" w:eastAsia="zh-CN"/>
        </w:rPr>
        <w:t>稳定性系数计算一览表</w:t>
      </w:r>
    </w:p>
    <w:tbl>
      <w:tblPr>
        <w:tblStyle w:val="18"/>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50"/>
        <w:gridCol w:w="4188"/>
        <w:gridCol w:w="1657"/>
        <w:gridCol w:w="1989"/>
      </w:tblGrid>
      <w:tr w14:paraId="3A2CAD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exact"/>
          <w:tblHeader/>
          <w:jc w:val="center"/>
        </w:trPr>
        <w:tc>
          <w:tcPr>
            <w:tcW w:w="781" w:type="pct"/>
            <w:tcBorders>
              <w:tl2br w:val="nil"/>
              <w:tr2bl w:val="nil"/>
            </w:tcBorders>
            <w:noWrap w:val="0"/>
            <w:vAlign w:val="center"/>
          </w:tcPr>
          <w:p w14:paraId="11F3519D">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default" w:ascii="Times New Roman" w:hAnsi="Times New Roman" w:eastAsia="宋体" w:cs="Times New Roman"/>
                <w:b/>
                <w:bCs/>
                <w:color w:val="auto"/>
                <w:kern w:val="2"/>
                <w:sz w:val="21"/>
                <w:szCs w:val="21"/>
                <w:lang w:eastAsia="zh-CN"/>
              </w:rPr>
            </w:pPr>
            <w:r>
              <w:rPr>
                <w:rFonts w:hint="default" w:ascii="Times New Roman" w:hAnsi="Times New Roman" w:eastAsia="宋体" w:cs="Times New Roman"/>
                <w:b/>
                <w:bCs/>
                <w:color w:val="auto"/>
                <w:kern w:val="2"/>
                <w:sz w:val="21"/>
                <w:szCs w:val="21"/>
                <w:lang w:eastAsia="zh-CN"/>
              </w:rPr>
              <w:t>计算剖面</w:t>
            </w:r>
          </w:p>
        </w:tc>
        <w:tc>
          <w:tcPr>
            <w:tcW w:w="2255" w:type="pct"/>
            <w:tcBorders>
              <w:tl2br w:val="nil"/>
              <w:tr2bl w:val="nil"/>
            </w:tcBorders>
            <w:noWrap w:val="0"/>
            <w:vAlign w:val="center"/>
          </w:tcPr>
          <w:p w14:paraId="2EC8D007">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default" w:ascii="Times New Roman" w:hAnsi="Times New Roman" w:eastAsia="宋体" w:cs="Times New Roman"/>
                <w:b/>
                <w:bCs/>
                <w:color w:val="auto"/>
                <w:kern w:val="2"/>
                <w:sz w:val="21"/>
                <w:szCs w:val="21"/>
                <w:lang w:eastAsia="zh-CN"/>
              </w:rPr>
            </w:pPr>
            <w:r>
              <w:rPr>
                <w:rFonts w:hint="default" w:ascii="Times New Roman" w:hAnsi="Times New Roman" w:eastAsia="宋体" w:cs="Times New Roman"/>
                <w:b/>
                <w:bCs/>
                <w:color w:val="auto"/>
                <w:kern w:val="2"/>
                <w:sz w:val="21"/>
                <w:szCs w:val="21"/>
                <w:lang w:eastAsia="zh-CN"/>
              </w:rPr>
              <w:t>计算工况</w:t>
            </w:r>
          </w:p>
        </w:tc>
        <w:tc>
          <w:tcPr>
            <w:tcW w:w="892" w:type="pct"/>
            <w:tcBorders>
              <w:tl2br w:val="nil"/>
              <w:tr2bl w:val="nil"/>
            </w:tcBorders>
            <w:noWrap w:val="0"/>
            <w:vAlign w:val="center"/>
          </w:tcPr>
          <w:p w14:paraId="630B0482">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default" w:ascii="Times New Roman" w:hAnsi="Times New Roman" w:eastAsia="宋体" w:cs="Times New Roman"/>
                <w:b/>
                <w:bCs/>
                <w:color w:val="auto"/>
                <w:kern w:val="2"/>
                <w:sz w:val="21"/>
                <w:szCs w:val="21"/>
                <w:lang w:eastAsia="zh-CN"/>
              </w:rPr>
            </w:pPr>
            <w:r>
              <w:rPr>
                <w:rFonts w:hint="default" w:ascii="Times New Roman" w:hAnsi="Times New Roman" w:eastAsia="宋体" w:cs="Times New Roman"/>
                <w:b/>
                <w:bCs/>
                <w:color w:val="auto"/>
                <w:kern w:val="2"/>
                <w:sz w:val="21"/>
                <w:szCs w:val="21"/>
                <w:lang w:eastAsia="zh-CN"/>
              </w:rPr>
              <w:t>稳定性系数</w:t>
            </w:r>
          </w:p>
        </w:tc>
        <w:tc>
          <w:tcPr>
            <w:tcW w:w="1071" w:type="pct"/>
            <w:tcBorders>
              <w:tl2br w:val="nil"/>
              <w:tr2bl w:val="nil"/>
            </w:tcBorders>
            <w:noWrap w:val="0"/>
            <w:vAlign w:val="center"/>
          </w:tcPr>
          <w:p w14:paraId="751EA4BF">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default" w:ascii="Times New Roman" w:hAnsi="Times New Roman" w:eastAsia="宋体" w:cs="Times New Roman"/>
                <w:b/>
                <w:bCs/>
                <w:color w:val="auto"/>
                <w:kern w:val="2"/>
                <w:sz w:val="21"/>
                <w:szCs w:val="21"/>
                <w:lang w:eastAsia="zh-CN"/>
              </w:rPr>
            </w:pPr>
            <w:r>
              <w:rPr>
                <w:rFonts w:hint="default" w:ascii="Times New Roman" w:hAnsi="Times New Roman" w:eastAsia="宋体" w:cs="Times New Roman"/>
                <w:b/>
                <w:bCs/>
                <w:color w:val="auto"/>
                <w:kern w:val="2"/>
                <w:sz w:val="21"/>
                <w:szCs w:val="21"/>
                <w:lang w:eastAsia="zh-CN"/>
              </w:rPr>
              <w:t>稳定性状态</w:t>
            </w:r>
          </w:p>
        </w:tc>
      </w:tr>
      <w:tr w14:paraId="1B622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exact"/>
          <w:jc w:val="center"/>
        </w:trPr>
        <w:tc>
          <w:tcPr>
            <w:tcW w:w="781" w:type="pct"/>
            <w:vMerge w:val="restart"/>
            <w:tcBorders>
              <w:tl2br w:val="nil"/>
              <w:tr2bl w:val="nil"/>
            </w:tcBorders>
            <w:noWrap w:val="0"/>
            <w:vAlign w:val="center"/>
          </w:tcPr>
          <w:p w14:paraId="00710B27">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default" w:ascii="Times New Roman" w:hAnsi="Times New Roman" w:eastAsia="宋体" w:cs="Times New Roman"/>
                <w:color w:val="auto"/>
                <w:kern w:val="2"/>
                <w:sz w:val="21"/>
                <w:szCs w:val="21"/>
                <w:lang w:val="en-US" w:eastAsia="zh-CN"/>
              </w:rPr>
            </w:pPr>
            <w:r>
              <w:rPr>
                <w:rFonts w:hint="eastAsia" w:ascii="Times New Roman" w:hAnsi="Times New Roman" w:eastAsia="宋体" w:cs="Times New Roman"/>
                <w:color w:val="auto"/>
                <w:kern w:val="2"/>
                <w:sz w:val="21"/>
                <w:szCs w:val="21"/>
                <w:lang w:val="en-US" w:eastAsia="zh-CN"/>
              </w:rPr>
              <w:t>1</w:t>
            </w:r>
            <w:r>
              <w:rPr>
                <w:rFonts w:hint="default" w:ascii="Times New Roman" w:hAnsi="Times New Roman" w:eastAsia="宋体" w:cs="Times New Roman"/>
                <w:color w:val="auto"/>
                <w:kern w:val="2"/>
                <w:sz w:val="21"/>
                <w:szCs w:val="21"/>
                <w:lang w:val="en-US" w:eastAsia="zh-CN"/>
              </w:rPr>
              <w:t>-</w:t>
            </w:r>
            <w:r>
              <w:rPr>
                <w:rFonts w:hint="eastAsia" w:ascii="Times New Roman" w:hAnsi="Times New Roman" w:eastAsia="宋体" w:cs="Times New Roman"/>
                <w:color w:val="auto"/>
                <w:kern w:val="2"/>
                <w:sz w:val="21"/>
                <w:szCs w:val="21"/>
                <w:lang w:val="en-US" w:eastAsia="zh-CN"/>
              </w:rPr>
              <w:t>1′</w:t>
            </w:r>
          </w:p>
        </w:tc>
        <w:tc>
          <w:tcPr>
            <w:tcW w:w="2255" w:type="pct"/>
            <w:tcBorders>
              <w:tl2br w:val="nil"/>
              <w:tr2bl w:val="nil"/>
            </w:tcBorders>
            <w:noWrap w:val="0"/>
            <w:vAlign w:val="center"/>
          </w:tcPr>
          <w:p w14:paraId="7C75C04C">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default" w:ascii="Times New Roman" w:hAnsi="Times New Roman" w:eastAsia="宋体" w:cs="Times New Roman"/>
                <w:color w:val="auto"/>
                <w:kern w:val="2"/>
                <w:sz w:val="21"/>
                <w:szCs w:val="21"/>
                <w:lang w:eastAsia="zh-CN"/>
              </w:rPr>
            </w:pPr>
            <w:r>
              <w:rPr>
                <w:rFonts w:hint="eastAsia" w:ascii="Times New Roman" w:hAnsi="Times New Roman" w:eastAsia="宋体" w:cs="Times New Roman"/>
                <w:color w:val="auto"/>
                <w:kern w:val="2"/>
                <w:sz w:val="21"/>
                <w:szCs w:val="21"/>
                <w:lang w:val="en-US" w:eastAsia="zh-CN"/>
              </w:rPr>
              <w:t>荷载组合</w:t>
            </w:r>
            <w:r>
              <w:rPr>
                <w:rFonts w:hint="eastAsia" w:ascii="宋体" w:hAnsi="宋体" w:eastAsia="宋体" w:cs="宋体"/>
                <w:color w:val="auto"/>
                <w:kern w:val="2"/>
                <w:sz w:val="21"/>
                <w:szCs w:val="21"/>
                <w:lang w:eastAsia="zh-CN"/>
              </w:rPr>
              <w:t>Ⅰ</w:t>
            </w:r>
            <w:r>
              <w:rPr>
                <w:rFonts w:hint="default" w:ascii="Times New Roman" w:hAnsi="Times New Roman" w:eastAsia="宋体" w:cs="Times New Roman"/>
                <w:color w:val="auto"/>
                <w:kern w:val="2"/>
                <w:sz w:val="21"/>
                <w:szCs w:val="21"/>
                <w:lang w:eastAsia="zh-CN"/>
              </w:rPr>
              <w:t>（自重＋</w:t>
            </w:r>
            <w:r>
              <w:rPr>
                <w:rFonts w:hint="eastAsia" w:ascii="Times New Roman" w:hAnsi="Times New Roman" w:eastAsia="宋体" w:cs="Times New Roman"/>
                <w:color w:val="auto"/>
                <w:kern w:val="2"/>
                <w:sz w:val="21"/>
                <w:szCs w:val="21"/>
                <w:lang w:val="en-US" w:eastAsia="zh-CN"/>
              </w:rPr>
              <w:t>地下水</w:t>
            </w:r>
            <w:r>
              <w:rPr>
                <w:rFonts w:hint="default" w:ascii="Times New Roman" w:hAnsi="Times New Roman" w:eastAsia="宋体" w:cs="Times New Roman"/>
                <w:color w:val="auto"/>
                <w:kern w:val="2"/>
                <w:sz w:val="21"/>
                <w:szCs w:val="21"/>
                <w:lang w:eastAsia="zh-CN"/>
              </w:rPr>
              <w:t>）</w:t>
            </w:r>
          </w:p>
        </w:tc>
        <w:tc>
          <w:tcPr>
            <w:tcW w:w="892" w:type="pct"/>
            <w:tcBorders>
              <w:tl2br w:val="nil"/>
              <w:tr2bl w:val="nil"/>
            </w:tcBorders>
            <w:noWrap w:val="0"/>
            <w:vAlign w:val="center"/>
          </w:tcPr>
          <w:p w14:paraId="6489B389">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default" w:ascii="Times New Roman" w:hAnsi="Times New Roman" w:eastAsia="宋体" w:cs="Times New Roman"/>
                <w:color w:val="auto"/>
                <w:kern w:val="2"/>
                <w:sz w:val="21"/>
                <w:szCs w:val="21"/>
                <w:lang w:val="en-US" w:eastAsia="zh-CN"/>
              </w:rPr>
            </w:pPr>
            <w:r>
              <w:rPr>
                <w:rFonts w:hint="eastAsia" w:ascii="Times New Roman" w:hAnsi="Times New Roman" w:eastAsia="宋体" w:cs="Times New Roman"/>
                <w:color w:val="auto"/>
                <w:kern w:val="2"/>
                <w:sz w:val="21"/>
                <w:szCs w:val="21"/>
                <w:lang w:val="en-US" w:eastAsia="zh-CN"/>
              </w:rPr>
              <w:t>1.915</w:t>
            </w:r>
          </w:p>
        </w:tc>
        <w:tc>
          <w:tcPr>
            <w:tcW w:w="1071" w:type="pct"/>
            <w:tcBorders>
              <w:tl2br w:val="nil"/>
              <w:tr2bl w:val="nil"/>
            </w:tcBorders>
            <w:noWrap w:val="0"/>
            <w:vAlign w:val="center"/>
          </w:tcPr>
          <w:p w14:paraId="3FA56E96">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kern w:val="2"/>
                <w:sz w:val="21"/>
                <w:szCs w:val="21"/>
                <w:lang w:eastAsia="zh-CN"/>
              </w:rPr>
              <w:t>稳定</w:t>
            </w:r>
          </w:p>
        </w:tc>
      </w:tr>
      <w:tr w14:paraId="3779D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exact"/>
          <w:jc w:val="center"/>
        </w:trPr>
        <w:tc>
          <w:tcPr>
            <w:tcW w:w="781" w:type="pct"/>
            <w:vMerge w:val="continue"/>
            <w:tcBorders>
              <w:tl2br w:val="nil"/>
              <w:tr2bl w:val="nil"/>
            </w:tcBorders>
            <w:noWrap w:val="0"/>
            <w:vAlign w:val="center"/>
          </w:tcPr>
          <w:p w14:paraId="6034EC86">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default" w:ascii="Times New Roman" w:hAnsi="Times New Roman" w:eastAsia="宋体" w:cs="Times New Roman"/>
                <w:color w:val="auto"/>
                <w:kern w:val="2"/>
                <w:sz w:val="21"/>
                <w:szCs w:val="21"/>
                <w:lang w:eastAsia="zh-CN"/>
              </w:rPr>
            </w:pPr>
          </w:p>
        </w:tc>
        <w:tc>
          <w:tcPr>
            <w:tcW w:w="2255" w:type="pct"/>
            <w:tcBorders>
              <w:tl2br w:val="nil"/>
              <w:tr2bl w:val="nil"/>
            </w:tcBorders>
            <w:noWrap w:val="0"/>
            <w:vAlign w:val="center"/>
          </w:tcPr>
          <w:p w14:paraId="2BBF67D3">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default" w:ascii="Times New Roman" w:hAnsi="Times New Roman" w:eastAsia="宋体" w:cs="Times New Roman"/>
                <w:color w:val="auto"/>
                <w:kern w:val="2"/>
                <w:sz w:val="21"/>
                <w:szCs w:val="21"/>
                <w:lang w:eastAsia="zh-CN"/>
              </w:rPr>
            </w:pPr>
            <w:r>
              <w:rPr>
                <w:rFonts w:hint="eastAsia" w:ascii="Times New Roman" w:hAnsi="Times New Roman" w:eastAsia="宋体" w:cs="Times New Roman"/>
                <w:color w:val="auto"/>
                <w:kern w:val="2"/>
                <w:sz w:val="21"/>
                <w:szCs w:val="21"/>
                <w:lang w:val="en-US" w:eastAsia="zh-CN"/>
              </w:rPr>
              <w:t>荷载组合</w:t>
            </w:r>
            <w:r>
              <w:rPr>
                <w:rFonts w:hint="eastAsia" w:ascii="宋体" w:hAnsi="宋体" w:eastAsia="宋体" w:cs="宋体"/>
                <w:color w:val="auto"/>
                <w:kern w:val="2"/>
                <w:sz w:val="21"/>
                <w:szCs w:val="21"/>
                <w:lang w:eastAsia="zh-CN"/>
              </w:rPr>
              <w:t>Ⅱ</w:t>
            </w:r>
            <w:r>
              <w:rPr>
                <w:rFonts w:hint="default" w:ascii="Times New Roman" w:hAnsi="Times New Roman" w:eastAsia="宋体" w:cs="Times New Roman"/>
                <w:color w:val="auto"/>
                <w:kern w:val="2"/>
                <w:sz w:val="21"/>
                <w:szCs w:val="21"/>
                <w:lang w:eastAsia="zh-CN"/>
              </w:rPr>
              <w:t>（自重＋</w:t>
            </w:r>
            <w:r>
              <w:rPr>
                <w:rFonts w:hint="eastAsia" w:ascii="Times New Roman" w:hAnsi="Times New Roman" w:eastAsia="宋体" w:cs="Times New Roman"/>
                <w:color w:val="auto"/>
                <w:kern w:val="2"/>
                <w:sz w:val="21"/>
                <w:szCs w:val="21"/>
                <w:lang w:val="en-US" w:eastAsia="zh-CN"/>
              </w:rPr>
              <w:t>地下水+爆破振动力</w:t>
            </w:r>
            <w:r>
              <w:rPr>
                <w:rFonts w:hint="default" w:ascii="Times New Roman" w:hAnsi="Times New Roman" w:eastAsia="宋体" w:cs="Times New Roman"/>
                <w:color w:val="auto"/>
                <w:kern w:val="2"/>
                <w:sz w:val="21"/>
                <w:szCs w:val="21"/>
                <w:lang w:val="en-US" w:eastAsia="zh-CN"/>
              </w:rPr>
              <w:t>）</w:t>
            </w:r>
          </w:p>
        </w:tc>
        <w:tc>
          <w:tcPr>
            <w:tcW w:w="892" w:type="pct"/>
            <w:tcBorders>
              <w:tl2br w:val="nil"/>
              <w:tr2bl w:val="nil"/>
            </w:tcBorders>
            <w:noWrap w:val="0"/>
            <w:vAlign w:val="center"/>
          </w:tcPr>
          <w:p w14:paraId="4A5E557E">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default" w:ascii="Times New Roman" w:hAnsi="Times New Roman" w:eastAsia="宋体" w:cs="Times New Roman"/>
                <w:color w:val="auto"/>
                <w:kern w:val="2"/>
                <w:sz w:val="21"/>
                <w:szCs w:val="21"/>
                <w:lang w:val="en-US" w:eastAsia="zh-CN"/>
              </w:rPr>
            </w:pPr>
            <w:r>
              <w:rPr>
                <w:rFonts w:hint="eastAsia" w:ascii="Times New Roman" w:hAnsi="Times New Roman" w:eastAsia="宋体" w:cs="Times New Roman"/>
                <w:color w:val="auto"/>
                <w:kern w:val="2"/>
                <w:sz w:val="21"/>
                <w:szCs w:val="21"/>
                <w:lang w:val="en-US" w:eastAsia="zh-CN"/>
              </w:rPr>
              <w:t>1.870</w:t>
            </w:r>
          </w:p>
        </w:tc>
        <w:tc>
          <w:tcPr>
            <w:tcW w:w="1071" w:type="pct"/>
            <w:tcBorders>
              <w:tl2br w:val="nil"/>
              <w:tr2bl w:val="nil"/>
            </w:tcBorders>
            <w:noWrap w:val="0"/>
            <w:vAlign w:val="center"/>
          </w:tcPr>
          <w:p w14:paraId="1190A7B5">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color w:val="auto"/>
                <w:kern w:val="2"/>
                <w:sz w:val="21"/>
                <w:szCs w:val="21"/>
                <w:lang w:eastAsia="zh-CN"/>
              </w:rPr>
              <w:t>稳定</w:t>
            </w:r>
          </w:p>
        </w:tc>
      </w:tr>
      <w:tr w14:paraId="2A4D1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exact"/>
          <w:jc w:val="center"/>
        </w:trPr>
        <w:tc>
          <w:tcPr>
            <w:tcW w:w="781" w:type="pct"/>
            <w:vMerge w:val="restart"/>
            <w:tcBorders>
              <w:tl2br w:val="nil"/>
              <w:tr2bl w:val="nil"/>
            </w:tcBorders>
            <w:noWrap w:val="0"/>
            <w:vAlign w:val="center"/>
          </w:tcPr>
          <w:p w14:paraId="5227F9A6">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default" w:ascii="Times New Roman" w:hAnsi="Times New Roman" w:eastAsia="宋体" w:cs="Times New Roman"/>
                <w:color w:val="auto"/>
                <w:kern w:val="2"/>
                <w:sz w:val="21"/>
                <w:szCs w:val="21"/>
                <w:lang w:eastAsia="zh-CN"/>
              </w:rPr>
            </w:pPr>
            <w:r>
              <w:rPr>
                <w:rFonts w:hint="eastAsia" w:ascii="Times New Roman" w:hAnsi="Times New Roman" w:eastAsia="宋体" w:cs="Times New Roman"/>
                <w:color w:val="auto"/>
                <w:kern w:val="2"/>
                <w:sz w:val="21"/>
                <w:szCs w:val="21"/>
                <w:lang w:val="en-US" w:eastAsia="zh-CN"/>
              </w:rPr>
              <w:t>2</w:t>
            </w:r>
            <w:r>
              <w:rPr>
                <w:rFonts w:hint="default" w:ascii="Times New Roman" w:hAnsi="Times New Roman" w:eastAsia="宋体" w:cs="Times New Roman"/>
                <w:color w:val="auto"/>
                <w:kern w:val="2"/>
                <w:sz w:val="21"/>
                <w:szCs w:val="21"/>
                <w:lang w:val="en-US" w:eastAsia="zh-CN"/>
              </w:rPr>
              <w:t>-</w:t>
            </w:r>
            <w:r>
              <w:rPr>
                <w:rFonts w:hint="eastAsia" w:ascii="Times New Roman" w:hAnsi="Times New Roman" w:eastAsia="宋体" w:cs="Times New Roman"/>
                <w:color w:val="auto"/>
                <w:kern w:val="2"/>
                <w:sz w:val="21"/>
                <w:szCs w:val="21"/>
                <w:lang w:val="en-US" w:eastAsia="zh-CN"/>
              </w:rPr>
              <w:t>2′</w:t>
            </w:r>
          </w:p>
        </w:tc>
        <w:tc>
          <w:tcPr>
            <w:tcW w:w="2255" w:type="pct"/>
            <w:tcBorders>
              <w:tl2br w:val="nil"/>
              <w:tr2bl w:val="nil"/>
            </w:tcBorders>
            <w:noWrap w:val="0"/>
            <w:vAlign w:val="center"/>
          </w:tcPr>
          <w:p w14:paraId="2B1E31CF">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eastAsia" w:ascii="Times New Roman" w:hAnsi="Times New Roman" w:eastAsia="宋体" w:cs="Times New Roman"/>
                <w:color w:val="auto"/>
                <w:kern w:val="2"/>
                <w:sz w:val="21"/>
                <w:szCs w:val="21"/>
                <w:lang w:val="en-US" w:eastAsia="zh-CN"/>
              </w:rPr>
            </w:pPr>
            <w:r>
              <w:rPr>
                <w:rFonts w:hint="eastAsia" w:ascii="Times New Roman" w:hAnsi="Times New Roman" w:eastAsia="宋体" w:cs="Times New Roman"/>
                <w:color w:val="auto"/>
                <w:kern w:val="2"/>
                <w:sz w:val="21"/>
                <w:szCs w:val="21"/>
                <w:lang w:val="en-US" w:eastAsia="zh-CN"/>
              </w:rPr>
              <w:t>荷载组合</w:t>
            </w:r>
            <w:r>
              <w:rPr>
                <w:rFonts w:hint="eastAsia" w:ascii="宋体" w:hAnsi="宋体" w:eastAsia="宋体" w:cs="宋体"/>
                <w:color w:val="auto"/>
                <w:kern w:val="2"/>
                <w:sz w:val="21"/>
                <w:szCs w:val="21"/>
                <w:lang w:eastAsia="zh-CN"/>
              </w:rPr>
              <w:t>Ⅰ</w:t>
            </w:r>
            <w:r>
              <w:rPr>
                <w:rFonts w:hint="default" w:ascii="Times New Roman" w:hAnsi="Times New Roman" w:eastAsia="宋体" w:cs="Times New Roman"/>
                <w:color w:val="auto"/>
                <w:kern w:val="2"/>
                <w:sz w:val="21"/>
                <w:szCs w:val="21"/>
                <w:lang w:eastAsia="zh-CN"/>
              </w:rPr>
              <w:t>（自重＋</w:t>
            </w:r>
            <w:r>
              <w:rPr>
                <w:rFonts w:hint="eastAsia" w:ascii="Times New Roman" w:hAnsi="Times New Roman" w:eastAsia="宋体" w:cs="Times New Roman"/>
                <w:color w:val="auto"/>
                <w:kern w:val="2"/>
                <w:sz w:val="21"/>
                <w:szCs w:val="21"/>
                <w:lang w:val="en-US" w:eastAsia="zh-CN"/>
              </w:rPr>
              <w:t>地下水</w:t>
            </w:r>
            <w:r>
              <w:rPr>
                <w:rFonts w:hint="default" w:ascii="Times New Roman" w:hAnsi="Times New Roman" w:eastAsia="宋体" w:cs="Times New Roman"/>
                <w:color w:val="auto"/>
                <w:kern w:val="2"/>
                <w:sz w:val="21"/>
                <w:szCs w:val="21"/>
                <w:lang w:eastAsia="zh-CN"/>
              </w:rPr>
              <w:t>）</w:t>
            </w:r>
          </w:p>
        </w:tc>
        <w:tc>
          <w:tcPr>
            <w:tcW w:w="892" w:type="pct"/>
            <w:tcBorders>
              <w:tl2br w:val="nil"/>
              <w:tr2bl w:val="nil"/>
            </w:tcBorders>
            <w:noWrap w:val="0"/>
            <w:vAlign w:val="center"/>
          </w:tcPr>
          <w:p w14:paraId="77B246F2">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default" w:ascii="Times New Roman" w:hAnsi="Times New Roman" w:eastAsia="宋体" w:cs="Times New Roman"/>
                <w:color w:val="auto"/>
                <w:kern w:val="2"/>
                <w:sz w:val="21"/>
                <w:szCs w:val="21"/>
                <w:lang w:val="en-US" w:eastAsia="zh-CN"/>
              </w:rPr>
            </w:pPr>
            <w:r>
              <w:rPr>
                <w:rFonts w:hint="eastAsia" w:ascii="Times New Roman" w:hAnsi="Times New Roman" w:eastAsia="宋体" w:cs="Times New Roman"/>
                <w:color w:val="auto"/>
                <w:kern w:val="2"/>
                <w:sz w:val="21"/>
                <w:szCs w:val="21"/>
                <w:lang w:val="en-US" w:eastAsia="zh-CN"/>
              </w:rPr>
              <w:t>1.214</w:t>
            </w:r>
          </w:p>
        </w:tc>
        <w:tc>
          <w:tcPr>
            <w:tcW w:w="1071" w:type="pct"/>
            <w:tcBorders>
              <w:tl2br w:val="nil"/>
              <w:tr2bl w:val="nil"/>
            </w:tcBorders>
            <w:noWrap w:val="0"/>
            <w:vAlign w:val="center"/>
          </w:tcPr>
          <w:p w14:paraId="1A0CA253">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default" w:ascii="Times New Roman" w:hAnsi="Times New Roman" w:eastAsia="宋体" w:cs="Times New Roman"/>
                <w:color w:val="auto"/>
                <w:kern w:val="2"/>
                <w:sz w:val="21"/>
                <w:szCs w:val="21"/>
                <w:lang w:eastAsia="zh-CN"/>
              </w:rPr>
            </w:pPr>
            <w:r>
              <w:rPr>
                <w:rFonts w:hint="eastAsia" w:ascii="Times New Roman" w:hAnsi="Times New Roman" w:eastAsia="宋体" w:cs="Times New Roman"/>
                <w:color w:val="auto"/>
                <w:kern w:val="2"/>
                <w:sz w:val="21"/>
                <w:szCs w:val="21"/>
                <w:lang w:val="en-US" w:eastAsia="zh-CN"/>
              </w:rPr>
              <w:t>基本</w:t>
            </w:r>
            <w:r>
              <w:rPr>
                <w:rFonts w:hint="default" w:ascii="Times New Roman" w:hAnsi="Times New Roman" w:eastAsia="宋体" w:cs="Times New Roman"/>
                <w:color w:val="auto"/>
                <w:kern w:val="2"/>
                <w:sz w:val="21"/>
                <w:szCs w:val="21"/>
                <w:lang w:eastAsia="zh-CN"/>
              </w:rPr>
              <w:t>稳定</w:t>
            </w:r>
          </w:p>
        </w:tc>
      </w:tr>
      <w:tr w14:paraId="06C34C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exact"/>
          <w:jc w:val="center"/>
        </w:trPr>
        <w:tc>
          <w:tcPr>
            <w:tcW w:w="781" w:type="pct"/>
            <w:vMerge w:val="continue"/>
            <w:tcBorders>
              <w:tl2br w:val="nil"/>
              <w:tr2bl w:val="nil"/>
            </w:tcBorders>
            <w:noWrap w:val="0"/>
            <w:vAlign w:val="center"/>
          </w:tcPr>
          <w:p w14:paraId="76AE0482">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default" w:ascii="Times New Roman" w:hAnsi="Times New Roman" w:eastAsia="宋体" w:cs="Times New Roman"/>
                <w:color w:val="auto"/>
                <w:kern w:val="2"/>
                <w:sz w:val="21"/>
                <w:szCs w:val="21"/>
                <w:lang w:eastAsia="zh-CN"/>
              </w:rPr>
            </w:pPr>
          </w:p>
        </w:tc>
        <w:tc>
          <w:tcPr>
            <w:tcW w:w="2255" w:type="pct"/>
            <w:tcBorders>
              <w:tl2br w:val="nil"/>
              <w:tr2bl w:val="nil"/>
            </w:tcBorders>
            <w:noWrap w:val="0"/>
            <w:vAlign w:val="center"/>
          </w:tcPr>
          <w:p w14:paraId="3767CAD3">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eastAsia" w:ascii="Times New Roman" w:hAnsi="Times New Roman" w:eastAsia="宋体" w:cs="Times New Roman"/>
                <w:color w:val="auto"/>
                <w:kern w:val="2"/>
                <w:sz w:val="21"/>
                <w:szCs w:val="21"/>
                <w:lang w:val="en-US" w:eastAsia="zh-CN"/>
              </w:rPr>
            </w:pPr>
            <w:r>
              <w:rPr>
                <w:rFonts w:hint="eastAsia" w:ascii="Times New Roman" w:hAnsi="Times New Roman" w:eastAsia="宋体" w:cs="Times New Roman"/>
                <w:color w:val="auto"/>
                <w:kern w:val="2"/>
                <w:sz w:val="21"/>
                <w:szCs w:val="21"/>
                <w:lang w:val="en-US" w:eastAsia="zh-CN"/>
              </w:rPr>
              <w:t>荷载组合</w:t>
            </w:r>
            <w:r>
              <w:rPr>
                <w:rFonts w:hint="eastAsia" w:ascii="宋体" w:hAnsi="宋体" w:eastAsia="宋体" w:cs="宋体"/>
                <w:color w:val="auto"/>
                <w:kern w:val="2"/>
                <w:sz w:val="21"/>
                <w:szCs w:val="21"/>
                <w:lang w:eastAsia="zh-CN"/>
              </w:rPr>
              <w:t>Ⅱ</w:t>
            </w:r>
            <w:r>
              <w:rPr>
                <w:rFonts w:hint="default" w:ascii="Times New Roman" w:hAnsi="Times New Roman" w:eastAsia="宋体" w:cs="Times New Roman"/>
                <w:color w:val="auto"/>
                <w:kern w:val="2"/>
                <w:sz w:val="21"/>
                <w:szCs w:val="21"/>
                <w:lang w:eastAsia="zh-CN"/>
              </w:rPr>
              <w:t>（自重＋</w:t>
            </w:r>
            <w:r>
              <w:rPr>
                <w:rFonts w:hint="eastAsia" w:ascii="Times New Roman" w:hAnsi="Times New Roman" w:eastAsia="宋体" w:cs="Times New Roman"/>
                <w:color w:val="auto"/>
                <w:kern w:val="2"/>
                <w:sz w:val="21"/>
                <w:szCs w:val="21"/>
                <w:lang w:val="en-US" w:eastAsia="zh-CN"/>
              </w:rPr>
              <w:t>地下水+爆破振动力</w:t>
            </w:r>
            <w:r>
              <w:rPr>
                <w:rFonts w:hint="default" w:ascii="Times New Roman" w:hAnsi="Times New Roman" w:eastAsia="宋体" w:cs="Times New Roman"/>
                <w:color w:val="auto"/>
                <w:kern w:val="2"/>
                <w:sz w:val="21"/>
                <w:szCs w:val="21"/>
                <w:lang w:val="en-US" w:eastAsia="zh-CN"/>
              </w:rPr>
              <w:t>）</w:t>
            </w:r>
          </w:p>
        </w:tc>
        <w:tc>
          <w:tcPr>
            <w:tcW w:w="892" w:type="pct"/>
            <w:tcBorders>
              <w:tl2br w:val="nil"/>
              <w:tr2bl w:val="nil"/>
            </w:tcBorders>
            <w:noWrap w:val="0"/>
            <w:vAlign w:val="center"/>
          </w:tcPr>
          <w:p w14:paraId="7EACA80B">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default" w:ascii="Times New Roman" w:hAnsi="Times New Roman" w:eastAsia="宋体" w:cs="Times New Roman"/>
                <w:color w:val="auto"/>
                <w:kern w:val="2"/>
                <w:sz w:val="21"/>
                <w:szCs w:val="21"/>
                <w:lang w:val="en-US" w:eastAsia="zh-CN"/>
              </w:rPr>
            </w:pPr>
            <w:r>
              <w:rPr>
                <w:rFonts w:hint="eastAsia" w:ascii="Times New Roman" w:hAnsi="Times New Roman" w:eastAsia="宋体" w:cs="Times New Roman"/>
                <w:color w:val="auto"/>
                <w:kern w:val="2"/>
                <w:sz w:val="21"/>
                <w:szCs w:val="21"/>
                <w:lang w:val="en-US" w:eastAsia="zh-CN"/>
              </w:rPr>
              <w:t>1.188</w:t>
            </w:r>
          </w:p>
        </w:tc>
        <w:tc>
          <w:tcPr>
            <w:tcW w:w="1071" w:type="pct"/>
            <w:tcBorders>
              <w:tl2br w:val="nil"/>
              <w:tr2bl w:val="nil"/>
            </w:tcBorders>
            <w:noWrap w:val="0"/>
            <w:vAlign w:val="center"/>
          </w:tcPr>
          <w:p w14:paraId="1EF065AD">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default" w:ascii="Times New Roman" w:hAnsi="Times New Roman" w:eastAsia="宋体" w:cs="Times New Roman"/>
                <w:color w:val="auto"/>
                <w:kern w:val="2"/>
                <w:sz w:val="21"/>
                <w:szCs w:val="21"/>
                <w:lang w:eastAsia="zh-CN"/>
              </w:rPr>
            </w:pPr>
            <w:r>
              <w:rPr>
                <w:rFonts w:hint="eastAsia" w:ascii="Times New Roman" w:hAnsi="Times New Roman" w:eastAsia="宋体" w:cs="Times New Roman"/>
                <w:color w:val="auto"/>
                <w:kern w:val="2"/>
                <w:sz w:val="21"/>
                <w:szCs w:val="21"/>
                <w:lang w:val="en-US" w:eastAsia="zh-CN"/>
              </w:rPr>
              <w:t>基本</w:t>
            </w:r>
            <w:r>
              <w:rPr>
                <w:rFonts w:hint="default" w:ascii="Times New Roman" w:hAnsi="Times New Roman" w:eastAsia="宋体" w:cs="Times New Roman"/>
                <w:color w:val="auto"/>
                <w:kern w:val="2"/>
                <w:sz w:val="21"/>
                <w:szCs w:val="21"/>
                <w:lang w:eastAsia="zh-CN"/>
              </w:rPr>
              <w:t>稳定</w:t>
            </w:r>
          </w:p>
        </w:tc>
      </w:tr>
      <w:tr w14:paraId="06DBB5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exact"/>
          <w:jc w:val="center"/>
        </w:trPr>
        <w:tc>
          <w:tcPr>
            <w:tcW w:w="781" w:type="pct"/>
            <w:vMerge w:val="restart"/>
            <w:tcBorders>
              <w:tl2br w:val="nil"/>
              <w:tr2bl w:val="nil"/>
            </w:tcBorders>
            <w:noWrap w:val="0"/>
            <w:vAlign w:val="center"/>
          </w:tcPr>
          <w:p w14:paraId="2F12EB95">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default" w:ascii="Times New Roman" w:hAnsi="Times New Roman" w:eastAsia="宋体" w:cs="Times New Roman"/>
                <w:color w:val="auto"/>
                <w:kern w:val="2"/>
                <w:sz w:val="21"/>
                <w:szCs w:val="21"/>
                <w:lang w:eastAsia="zh-CN"/>
              </w:rPr>
            </w:pPr>
            <w:r>
              <w:rPr>
                <w:rFonts w:hint="eastAsia" w:ascii="Times New Roman" w:hAnsi="Times New Roman" w:eastAsia="宋体" w:cs="Times New Roman"/>
                <w:color w:val="auto"/>
                <w:kern w:val="2"/>
                <w:sz w:val="21"/>
                <w:szCs w:val="21"/>
                <w:lang w:val="en-US" w:eastAsia="zh-CN"/>
              </w:rPr>
              <w:t>3</w:t>
            </w:r>
            <w:r>
              <w:rPr>
                <w:rFonts w:hint="default" w:ascii="Times New Roman" w:hAnsi="Times New Roman" w:eastAsia="宋体" w:cs="Times New Roman"/>
                <w:color w:val="auto"/>
                <w:kern w:val="2"/>
                <w:sz w:val="21"/>
                <w:szCs w:val="21"/>
                <w:lang w:val="en-US" w:eastAsia="zh-CN"/>
              </w:rPr>
              <w:t>-</w:t>
            </w:r>
            <w:r>
              <w:rPr>
                <w:rFonts w:hint="eastAsia" w:ascii="Times New Roman" w:hAnsi="Times New Roman" w:eastAsia="宋体" w:cs="Times New Roman"/>
                <w:color w:val="auto"/>
                <w:kern w:val="2"/>
                <w:sz w:val="21"/>
                <w:szCs w:val="21"/>
                <w:lang w:val="en-US" w:eastAsia="zh-CN"/>
              </w:rPr>
              <w:t>3′</w:t>
            </w:r>
          </w:p>
        </w:tc>
        <w:tc>
          <w:tcPr>
            <w:tcW w:w="2255" w:type="pct"/>
            <w:tcBorders>
              <w:tl2br w:val="nil"/>
              <w:tr2bl w:val="nil"/>
            </w:tcBorders>
            <w:noWrap w:val="0"/>
            <w:vAlign w:val="center"/>
          </w:tcPr>
          <w:p w14:paraId="69FBE81C">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eastAsia" w:ascii="Times New Roman" w:hAnsi="Times New Roman" w:eastAsia="宋体" w:cs="Times New Roman"/>
                <w:color w:val="auto"/>
                <w:kern w:val="2"/>
                <w:sz w:val="21"/>
                <w:szCs w:val="21"/>
                <w:lang w:val="en-US" w:eastAsia="zh-CN"/>
              </w:rPr>
            </w:pPr>
            <w:r>
              <w:rPr>
                <w:rFonts w:hint="eastAsia" w:ascii="Times New Roman" w:hAnsi="Times New Roman" w:eastAsia="宋体" w:cs="Times New Roman"/>
                <w:color w:val="auto"/>
                <w:kern w:val="2"/>
                <w:sz w:val="21"/>
                <w:szCs w:val="21"/>
                <w:lang w:val="en-US" w:eastAsia="zh-CN"/>
              </w:rPr>
              <w:t>荷载组合</w:t>
            </w:r>
            <w:r>
              <w:rPr>
                <w:rFonts w:hint="eastAsia" w:ascii="宋体" w:hAnsi="宋体" w:eastAsia="宋体" w:cs="宋体"/>
                <w:color w:val="auto"/>
                <w:kern w:val="2"/>
                <w:sz w:val="21"/>
                <w:szCs w:val="21"/>
                <w:lang w:eastAsia="zh-CN"/>
              </w:rPr>
              <w:t>Ⅰ</w:t>
            </w:r>
            <w:r>
              <w:rPr>
                <w:rFonts w:hint="default" w:ascii="Times New Roman" w:hAnsi="Times New Roman" w:eastAsia="宋体" w:cs="Times New Roman"/>
                <w:color w:val="auto"/>
                <w:kern w:val="2"/>
                <w:sz w:val="21"/>
                <w:szCs w:val="21"/>
                <w:lang w:eastAsia="zh-CN"/>
              </w:rPr>
              <w:t>（自重＋</w:t>
            </w:r>
            <w:r>
              <w:rPr>
                <w:rFonts w:hint="eastAsia" w:ascii="Times New Roman" w:hAnsi="Times New Roman" w:eastAsia="宋体" w:cs="Times New Roman"/>
                <w:color w:val="auto"/>
                <w:kern w:val="2"/>
                <w:sz w:val="21"/>
                <w:szCs w:val="21"/>
                <w:lang w:val="en-US" w:eastAsia="zh-CN"/>
              </w:rPr>
              <w:t>地下水</w:t>
            </w:r>
            <w:r>
              <w:rPr>
                <w:rFonts w:hint="default" w:ascii="Times New Roman" w:hAnsi="Times New Roman" w:eastAsia="宋体" w:cs="Times New Roman"/>
                <w:color w:val="auto"/>
                <w:kern w:val="2"/>
                <w:sz w:val="21"/>
                <w:szCs w:val="21"/>
                <w:lang w:eastAsia="zh-CN"/>
              </w:rPr>
              <w:t>）</w:t>
            </w:r>
          </w:p>
        </w:tc>
        <w:tc>
          <w:tcPr>
            <w:tcW w:w="892" w:type="pct"/>
            <w:tcBorders>
              <w:tl2br w:val="nil"/>
              <w:tr2bl w:val="nil"/>
            </w:tcBorders>
            <w:noWrap w:val="0"/>
            <w:vAlign w:val="center"/>
          </w:tcPr>
          <w:p w14:paraId="16E0DB4A">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eastAsia" w:ascii="Times New Roman" w:hAnsi="Times New Roman" w:eastAsia="宋体" w:cs="Times New Roman"/>
                <w:color w:val="auto"/>
                <w:kern w:val="2"/>
                <w:sz w:val="21"/>
                <w:szCs w:val="21"/>
                <w:lang w:val="en-US" w:eastAsia="zh-CN"/>
              </w:rPr>
            </w:pPr>
            <w:r>
              <w:rPr>
                <w:rFonts w:hint="eastAsia" w:ascii="Times New Roman" w:hAnsi="Times New Roman" w:eastAsia="宋体" w:cs="Times New Roman"/>
                <w:color w:val="auto"/>
                <w:kern w:val="2"/>
                <w:sz w:val="21"/>
                <w:szCs w:val="21"/>
                <w:lang w:val="en-US" w:eastAsia="zh-CN"/>
              </w:rPr>
              <w:t>1.329</w:t>
            </w:r>
          </w:p>
        </w:tc>
        <w:tc>
          <w:tcPr>
            <w:tcW w:w="1071" w:type="pct"/>
            <w:tcBorders>
              <w:tl2br w:val="nil"/>
              <w:tr2bl w:val="nil"/>
            </w:tcBorders>
            <w:noWrap w:val="0"/>
            <w:vAlign w:val="center"/>
          </w:tcPr>
          <w:p w14:paraId="6B754E2A">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kern w:val="2"/>
                <w:sz w:val="21"/>
                <w:szCs w:val="21"/>
                <w:lang w:eastAsia="zh-CN"/>
              </w:rPr>
              <w:t>稳定</w:t>
            </w:r>
          </w:p>
        </w:tc>
      </w:tr>
      <w:tr w14:paraId="0FB7BB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exact"/>
          <w:jc w:val="center"/>
        </w:trPr>
        <w:tc>
          <w:tcPr>
            <w:tcW w:w="781" w:type="pct"/>
            <w:vMerge w:val="continue"/>
            <w:tcBorders>
              <w:tl2br w:val="nil"/>
              <w:tr2bl w:val="nil"/>
            </w:tcBorders>
            <w:noWrap w:val="0"/>
            <w:vAlign w:val="center"/>
          </w:tcPr>
          <w:p w14:paraId="4DD9834E">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default" w:ascii="Times New Roman" w:hAnsi="Times New Roman" w:eastAsia="宋体" w:cs="Times New Roman"/>
                <w:color w:val="auto"/>
                <w:kern w:val="2"/>
                <w:sz w:val="21"/>
                <w:szCs w:val="21"/>
                <w:lang w:eastAsia="zh-CN"/>
              </w:rPr>
            </w:pPr>
          </w:p>
        </w:tc>
        <w:tc>
          <w:tcPr>
            <w:tcW w:w="2255" w:type="pct"/>
            <w:tcBorders>
              <w:tl2br w:val="nil"/>
              <w:tr2bl w:val="nil"/>
            </w:tcBorders>
            <w:noWrap w:val="0"/>
            <w:vAlign w:val="center"/>
          </w:tcPr>
          <w:p w14:paraId="7A995487">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eastAsia" w:ascii="Times New Roman" w:hAnsi="Times New Roman" w:eastAsia="宋体" w:cs="Times New Roman"/>
                <w:color w:val="auto"/>
                <w:kern w:val="2"/>
                <w:sz w:val="21"/>
                <w:szCs w:val="21"/>
                <w:lang w:val="en-US" w:eastAsia="zh-CN"/>
              </w:rPr>
            </w:pPr>
            <w:r>
              <w:rPr>
                <w:rFonts w:hint="eastAsia" w:ascii="Times New Roman" w:hAnsi="Times New Roman" w:eastAsia="宋体" w:cs="Times New Roman"/>
                <w:color w:val="auto"/>
                <w:kern w:val="2"/>
                <w:sz w:val="21"/>
                <w:szCs w:val="21"/>
                <w:lang w:val="en-US" w:eastAsia="zh-CN"/>
              </w:rPr>
              <w:t>荷载组合</w:t>
            </w:r>
            <w:r>
              <w:rPr>
                <w:rFonts w:hint="eastAsia" w:ascii="宋体" w:hAnsi="宋体" w:eastAsia="宋体" w:cs="宋体"/>
                <w:color w:val="auto"/>
                <w:kern w:val="2"/>
                <w:sz w:val="21"/>
                <w:szCs w:val="21"/>
                <w:lang w:eastAsia="zh-CN"/>
              </w:rPr>
              <w:t>Ⅱ</w:t>
            </w:r>
            <w:r>
              <w:rPr>
                <w:rFonts w:hint="default" w:ascii="Times New Roman" w:hAnsi="Times New Roman" w:eastAsia="宋体" w:cs="Times New Roman"/>
                <w:color w:val="auto"/>
                <w:kern w:val="2"/>
                <w:sz w:val="21"/>
                <w:szCs w:val="21"/>
                <w:lang w:eastAsia="zh-CN"/>
              </w:rPr>
              <w:t>（自重＋</w:t>
            </w:r>
            <w:r>
              <w:rPr>
                <w:rFonts w:hint="eastAsia" w:ascii="Times New Roman" w:hAnsi="Times New Roman" w:eastAsia="宋体" w:cs="Times New Roman"/>
                <w:color w:val="auto"/>
                <w:kern w:val="2"/>
                <w:sz w:val="21"/>
                <w:szCs w:val="21"/>
                <w:lang w:val="en-US" w:eastAsia="zh-CN"/>
              </w:rPr>
              <w:t>地下水+爆破振动力</w:t>
            </w:r>
            <w:r>
              <w:rPr>
                <w:rFonts w:hint="default" w:ascii="Times New Roman" w:hAnsi="Times New Roman" w:eastAsia="宋体" w:cs="Times New Roman"/>
                <w:color w:val="auto"/>
                <w:kern w:val="2"/>
                <w:sz w:val="21"/>
                <w:szCs w:val="21"/>
                <w:lang w:val="en-US" w:eastAsia="zh-CN"/>
              </w:rPr>
              <w:t>）</w:t>
            </w:r>
          </w:p>
        </w:tc>
        <w:tc>
          <w:tcPr>
            <w:tcW w:w="892" w:type="pct"/>
            <w:tcBorders>
              <w:tl2br w:val="nil"/>
              <w:tr2bl w:val="nil"/>
            </w:tcBorders>
            <w:noWrap w:val="0"/>
            <w:vAlign w:val="center"/>
          </w:tcPr>
          <w:p w14:paraId="43BC57D7">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default" w:ascii="Times New Roman" w:hAnsi="Times New Roman" w:eastAsia="宋体" w:cs="Times New Roman"/>
                <w:color w:val="auto"/>
                <w:kern w:val="2"/>
                <w:sz w:val="21"/>
                <w:szCs w:val="21"/>
                <w:lang w:val="en-US" w:eastAsia="zh-CN"/>
              </w:rPr>
            </w:pPr>
            <w:r>
              <w:rPr>
                <w:rFonts w:hint="eastAsia" w:ascii="Times New Roman" w:hAnsi="Times New Roman" w:eastAsia="宋体" w:cs="Times New Roman"/>
                <w:color w:val="auto"/>
                <w:kern w:val="2"/>
                <w:sz w:val="21"/>
                <w:szCs w:val="21"/>
                <w:lang w:val="en-US" w:eastAsia="zh-CN"/>
              </w:rPr>
              <w:t>1.298</w:t>
            </w:r>
          </w:p>
        </w:tc>
        <w:tc>
          <w:tcPr>
            <w:tcW w:w="1071" w:type="pct"/>
            <w:tcBorders>
              <w:tl2br w:val="nil"/>
              <w:tr2bl w:val="nil"/>
            </w:tcBorders>
            <w:noWrap w:val="0"/>
            <w:vAlign w:val="center"/>
          </w:tcPr>
          <w:p w14:paraId="66F69AAD">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left="0" w:right="0" w:firstLine="0" w:firstLineChars="0"/>
              <w:jc w:val="center"/>
              <w:textAlignment w:val="auto"/>
              <w:outlineLvl w:val="9"/>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kern w:val="2"/>
                <w:sz w:val="21"/>
                <w:szCs w:val="21"/>
                <w:lang w:eastAsia="zh-CN"/>
              </w:rPr>
              <w:t>稳定</w:t>
            </w:r>
          </w:p>
        </w:tc>
      </w:tr>
    </w:tbl>
    <w:p w14:paraId="331CF00A">
      <w:pPr>
        <w:bidi w:val="0"/>
        <w:rPr>
          <w:rFonts w:hint="default"/>
          <w:color w:val="auto"/>
          <w:lang w:val="en-US" w:eastAsia="zh-CN"/>
        </w:rPr>
      </w:pPr>
      <w:r>
        <w:rPr>
          <w:rFonts w:hint="default"/>
          <w:color w:val="auto"/>
          <w:lang w:val="en-US" w:eastAsia="zh-CN"/>
        </w:rPr>
        <w:t>综合分析，1</w:t>
      </w:r>
      <w:r>
        <w:rPr>
          <w:rFonts w:hint="eastAsia" w:ascii="宋体" w:hAnsi="宋体" w:eastAsia="宋体" w:cs="宋体"/>
          <w:color w:val="auto"/>
          <w:lang w:val="en-US" w:eastAsia="zh-CN"/>
        </w:rPr>
        <w:t>-</w:t>
      </w:r>
      <w:r>
        <w:rPr>
          <w:rFonts w:hint="default"/>
          <w:color w:val="auto"/>
          <w:lang w:val="en-US" w:eastAsia="zh-CN"/>
        </w:rPr>
        <w:t>1</w:t>
      </w:r>
      <w:r>
        <w:rPr>
          <w:rFonts w:hint="eastAsia" w:ascii="Times New Roman" w:hAnsi="Times New Roman" w:eastAsia="宋体" w:cs="Times New Roman"/>
          <w:color w:val="auto"/>
          <w:kern w:val="2"/>
          <w:sz w:val="28"/>
          <w:szCs w:val="28"/>
          <w:lang w:val="en-US" w:eastAsia="zh-CN"/>
        </w:rPr>
        <w:t>′</w:t>
      </w:r>
      <w:r>
        <w:rPr>
          <w:rFonts w:hint="default"/>
          <w:color w:val="auto"/>
          <w:lang w:val="en-US" w:eastAsia="zh-CN"/>
        </w:rPr>
        <w:t>边坡和3</w:t>
      </w:r>
      <w:r>
        <w:rPr>
          <w:rFonts w:hint="eastAsia" w:ascii="宋体" w:hAnsi="宋体" w:eastAsia="宋体" w:cs="宋体"/>
          <w:color w:val="auto"/>
          <w:lang w:val="en-US" w:eastAsia="zh-CN"/>
        </w:rPr>
        <w:t>-</w:t>
      </w:r>
      <w:r>
        <w:rPr>
          <w:rFonts w:hint="default"/>
          <w:color w:val="auto"/>
          <w:lang w:val="en-US" w:eastAsia="zh-CN"/>
        </w:rPr>
        <w:t>3</w:t>
      </w:r>
      <w:r>
        <w:rPr>
          <w:rFonts w:hint="eastAsia" w:ascii="Times New Roman" w:hAnsi="Times New Roman" w:eastAsia="宋体" w:cs="Times New Roman"/>
          <w:color w:val="auto"/>
          <w:kern w:val="2"/>
          <w:sz w:val="28"/>
          <w:szCs w:val="28"/>
          <w:lang w:val="en-US" w:eastAsia="zh-CN"/>
        </w:rPr>
        <w:t>′</w:t>
      </w:r>
      <w:r>
        <w:rPr>
          <w:rFonts w:hint="default"/>
          <w:color w:val="auto"/>
          <w:lang w:val="en-US" w:eastAsia="zh-CN"/>
        </w:rPr>
        <w:t>边坡在自重＋地下水状态下，边坡处于稳定状态</w:t>
      </w:r>
      <w:r>
        <w:rPr>
          <w:rFonts w:hint="eastAsia"/>
          <w:color w:val="auto"/>
          <w:lang w:val="en-US" w:eastAsia="zh-CN"/>
        </w:rPr>
        <w:t>，</w:t>
      </w:r>
      <w:r>
        <w:rPr>
          <w:rFonts w:hint="default"/>
          <w:color w:val="auto"/>
          <w:lang w:val="en-US" w:eastAsia="zh-CN"/>
        </w:rPr>
        <w:t>在自重＋地下水＋爆破振动力下边坡也处于处于稳定状态。说明1</w:t>
      </w:r>
      <w:r>
        <w:rPr>
          <w:rFonts w:hint="eastAsia" w:ascii="宋体" w:hAnsi="宋体" w:eastAsia="宋体" w:cs="宋体"/>
          <w:color w:val="auto"/>
          <w:lang w:val="en-US" w:eastAsia="zh-CN"/>
        </w:rPr>
        <w:t>-</w:t>
      </w:r>
      <w:r>
        <w:rPr>
          <w:rFonts w:hint="default"/>
          <w:color w:val="auto"/>
          <w:lang w:val="en-US" w:eastAsia="zh-CN"/>
        </w:rPr>
        <w:t>1</w:t>
      </w:r>
      <w:r>
        <w:rPr>
          <w:rFonts w:hint="eastAsia" w:ascii="Times New Roman" w:hAnsi="Times New Roman" w:eastAsia="宋体" w:cs="Times New Roman"/>
          <w:color w:val="auto"/>
          <w:kern w:val="2"/>
          <w:sz w:val="28"/>
          <w:szCs w:val="28"/>
          <w:lang w:val="en-US" w:eastAsia="zh-CN"/>
        </w:rPr>
        <w:t>′</w:t>
      </w:r>
      <w:r>
        <w:rPr>
          <w:rFonts w:hint="default"/>
          <w:color w:val="auto"/>
          <w:lang w:val="en-US" w:eastAsia="zh-CN"/>
        </w:rPr>
        <w:t>边坡和3</w:t>
      </w:r>
      <w:r>
        <w:rPr>
          <w:rFonts w:hint="eastAsia" w:ascii="宋体" w:hAnsi="宋体" w:eastAsia="宋体" w:cs="宋体"/>
          <w:color w:val="auto"/>
          <w:lang w:val="en-US" w:eastAsia="zh-CN"/>
        </w:rPr>
        <w:t>-</w:t>
      </w:r>
      <w:r>
        <w:rPr>
          <w:rFonts w:hint="default"/>
          <w:color w:val="auto"/>
          <w:lang w:val="en-US" w:eastAsia="zh-CN"/>
        </w:rPr>
        <w:t>3</w:t>
      </w:r>
      <w:r>
        <w:rPr>
          <w:rFonts w:hint="eastAsia" w:ascii="Times New Roman" w:hAnsi="Times New Roman" w:eastAsia="宋体" w:cs="Times New Roman"/>
          <w:color w:val="auto"/>
          <w:kern w:val="2"/>
          <w:sz w:val="28"/>
          <w:szCs w:val="28"/>
          <w:lang w:val="en-US" w:eastAsia="zh-CN"/>
        </w:rPr>
        <w:t>′</w:t>
      </w:r>
      <w:r>
        <w:rPr>
          <w:rFonts w:hint="default"/>
          <w:color w:val="auto"/>
          <w:lang w:val="en-US" w:eastAsia="zh-CN"/>
        </w:rPr>
        <w:t>边坡总体稳定好。2</w:t>
      </w:r>
      <w:r>
        <w:rPr>
          <w:rFonts w:hint="eastAsia" w:ascii="宋体" w:hAnsi="宋体" w:eastAsia="宋体" w:cs="宋体"/>
          <w:color w:val="auto"/>
          <w:lang w:val="en-US" w:eastAsia="zh-CN"/>
        </w:rPr>
        <w:t>-</w:t>
      </w:r>
      <w:r>
        <w:rPr>
          <w:rFonts w:hint="default"/>
          <w:color w:val="auto"/>
          <w:lang w:val="en-US" w:eastAsia="zh-CN"/>
        </w:rPr>
        <w:t>2</w:t>
      </w:r>
      <w:r>
        <w:rPr>
          <w:rFonts w:hint="eastAsia" w:ascii="Times New Roman" w:hAnsi="Times New Roman" w:eastAsia="宋体" w:cs="Times New Roman"/>
          <w:color w:val="auto"/>
          <w:kern w:val="2"/>
          <w:sz w:val="28"/>
          <w:szCs w:val="28"/>
          <w:lang w:val="en-US" w:eastAsia="zh-CN"/>
        </w:rPr>
        <w:t>′</w:t>
      </w:r>
      <w:r>
        <w:rPr>
          <w:rFonts w:hint="default"/>
          <w:color w:val="auto"/>
          <w:lang w:val="en-US" w:eastAsia="zh-CN"/>
        </w:rPr>
        <w:t>剖面边坡在自重＋地下水工况下为基本稳定状态，在自重＋地下水＋爆破振动力工况下为基本稳定状态，其稳定性相对较差，局部有小规模滑塌的风险。</w:t>
      </w:r>
    </w:p>
    <w:p w14:paraId="6DE544D5">
      <w:pPr>
        <w:pStyle w:val="4"/>
        <w:bidi w:val="0"/>
        <w:rPr>
          <w:rFonts w:hint="default"/>
          <w:color w:val="auto"/>
          <w:lang w:val="en-US" w:eastAsia="zh-CN"/>
        </w:rPr>
      </w:pPr>
      <w:bookmarkStart w:id="151" w:name="_Toc2870"/>
      <w:bookmarkStart w:id="152" w:name="_Toc32473"/>
      <w:bookmarkStart w:id="153" w:name="_Toc571"/>
      <w:r>
        <w:rPr>
          <w:rFonts w:hint="eastAsia"/>
          <w:color w:val="auto"/>
          <w:lang w:val="en-US" w:eastAsia="zh-CN"/>
        </w:rPr>
        <w:t>2.4.14 边坡监测系统</w:t>
      </w:r>
      <w:bookmarkEnd w:id="151"/>
      <w:bookmarkEnd w:id="152"/>
      <w:bookmarkEnd w:id="153"/>
    </w:p>
    <w:p w14:paraId="4A83800E">
      <w:pPr>
        <w:rPr>
          <w:rFonts w:hint="eastAsia"/>
          <w:color w:val="auto"/>
          <w:lang w:val="en-US" w:eastAsia="zh-CN"/>
        </w:rPr>
      </w:pPr>
      <w:r>
        <w:rPr>
          <w:rFonts w:hint="default"/>
          <w:color w:val="auto"/>
          <w:lang w:val="en-US" w:eastAsia="zh-CN"/>
        </w:rPr>
        <w:t>202</w:t>
      </w:r>
      <w:r>
        <w:rPr>
          <w:rFonts w:hint="eastAsia"/>
          <w:color w:val="auto"/>
          <w:lang w:val="en-US" w:eastAsia="zh-CN"/>
        </w:rPr>
        <w:t>4</w:t>
      </w:r>
      <w:r>
        <w:rPr>
          <w:rFonts w:hint="default"/>
          <w:color w:val="auto"/>
          <w:lang w:val="en-US" w:eastAsia="zh-CN"/>
        </w:rPr>
        <w:t>年</w:t>
      </w:r>
      <w:r>
        <w:rPr>
          <w:rFonts w:hint="eastAsia"/>
          <w:color w:val="auto"/>
          <w:lang w:val="en-US" w:eastAsia="zh-CN"/>
        </w:rPr>
        <w:t>11</w:t>
      </w:r>
      <w:r>
        <w:rPr>
          <w:rFonts w:hint="default"/>
          <w:color w:val="auto"/>
          <w:lang w:val="en-US" w:eastAsia="zh-CN"/>
        </w:rPr>
        <w:t>月</w:t>
      </w:r>
      <w:r>
        <w:rPr>
          <w:rFonts w:hint="eastAsia"/>
          <w:color w:val="auto"/>
          <w:lang w:val="en-US" w:eastAsia="zh-CN"/>
        </w:rPr>
        <w:t>，江西省坤育矿业有限公司委托</w:t>
      </w:r>
      <w:r>
        <w:rPr>
          <w:rFonts w:hint="default"/>
          <w:color w:val="auto"/>
          <w:lang w:val="en-US" w:eastAsia="zh-CN"/>
        </w:rPr>
        <w:t>江西省冶金设计院有限责任公司</w:t>
      </w:r>
      <w:r>
        <w:rPr>
          <w:rFonts w:hint="eastAsia"/>
          <w:color w:val="auto"/>
          <w:lang w:val="en-US" w:eastAsia="zh-CN"/>
        </w:rPr>
        <w:t>编制了</w:t>
      </w:r>
      <w:r>
        <w:rPr>
          <w:rFonts w:hint="default"/>
          <w:color w:val="auto"/>
          <w:lang w:val="en-US" w:eastAsia="zh-CN"/>
        </w:rPr>
        <w:t>《江西省坤育矿业有限公司德安县聂桥镇刘家山矿区建筑用辉绿岩矿露天边坡一期工程在线监测设计方案》</w:t>
      </w:r>
      <w:r>
        <w:rPr>
          <w:rFonts w:hint="eastAsia"/>
          <w:color w:val="auto"/>
          <w:lang w:val="en-US" w:eastAsia="zh-CN"/>
        </w:rPr>
        <w:t>，并通过了专家评审。</w:t>
      </w:r>
    </w:p>
    <w:p w14:paraId="24F2E692">
      <w:pPr>
        <w:bidi w:val="0"/>
        <w:rPr>
          <w:rFonts w:hint="eastAsia"/>
          <w:color w:val="auto"/>
          <w:lang w:val="en-US" w:eastAsia="zh-CN"/>
        </w:rPr>
      </w:pPr>
      <w:r>
        <w:rPr>
          <w:rFonts w:hint="eastAsia"/>
          <w:color w:val="auto"/>
          <w:lang w:val="en-US" w:eastAsia="zh-CN"/>
        </w:rPr>
        <w:t>根据边坡监测系统设计，目前需要监测项目含位移监测、降雨量监测及视频监控项目。</w:t>
      </w:r>
    </w:p>
    <w:p w14:paraId="7D233B1B">
      <w:pPr>
        <w:rPr>
          <w:rFonts w:hint="default"/>
          <w:color w:val="auto"/>
          <w:lang w:val="en-US" w:eastAsia="zh-CN"/>
        </w:rPr>
      </w:pPr>
      <w:r>
        <w:rPr>
          <w:rFonts w:hint="eastAsia"/>
          <w:color w:val="auto"/>
          <w:lang w:val="en-US" w:eastAsia="zh-CN"/>
        </w:rPr>
        <w:t>1. 表面位移监测</w:t>
      </w:r>
    </w:p>
    <w:p w14:paraId="333937A2">
      <w:pPr>
        <w:rPr>
          <w:rFonts w:hint="default"/>
          <w:color w:val="auto"/>
          <w:lang w:val="en-US" w:eastAsia="zh-CN"/>
        </w:rPr>
      </w:pPr>
      <w:r>
        <w:rPr>
          <w:rFonts w:hint="eastAsia"/>
          <w:color w:val="auto"/>
          <w:lang w:val="en-US" w:eastAsia="zh-CN"/>
        </w:rPr>
        <w:t>目前</w:t>
      </w:r>
      <w:r>
        <w:rPr>
          <w:rFonts w:hint="default"/>
          <w:color w:val="auto"/>
          <w:lang w:val="en-US" w:eastAsia="zh-CN"/>
        </w:rPr>
        <w:t>采场内布设</w:t>
      </w:r>
      <w:r>
        <w:rPr>
          <w:rFonts w:hint="eastAsia"/>
          <w:color w:val="auto"/>
          <w:lang w:val="en-US" w:eastAsia="zh-CN"/>
        </w:rPr>
        <w:t>了</w:t>
      </w:r>
      <w:r>
        <w:rPr>
          <w:rFonts w:hint="default"/>
          <w:color w:val="auto"/>
          <w:lang w:val="en-US" w:eastAsia="zh-CN"/>
        </w:rPr>
        <w:t>1座GNSS基准站，8个GNSS监测点，表面位移监测点坐标见下表</w:t>
      </w:r>
      <w:r>
        <w:rPr>
          <w:rFonts w:hint="eastAsia"/>
          <w:color w:val="auto"/>
          <w:lang w:val="en-US" w:eastAsia="zh-CN"/>
        </w:rPr>
        <w:t>2.4</w:t>
      </w:r>
      <w:r>
        <w:rPr>
          <w:rFonts w:hint="default"/>
          <w:color w:val="auto"/>
          <w:lang w:val="en-US" w:eastAsia="zh-CN"/>
        </w:rPr>
        <w:t>-</w:t>
      </w:r>
      <w:r>
        <w:rPr>
          <w:rFonts w:hint="eastAsia"/>
          <w:color w:val="auto"/>
          <w:lang w:val="en-US" w:eastAsia="zh-CN"/>
        </w:rPr>
        <w:t>6</w:t>
      </w:r>
      <w:r>
        <w:rPr>
          <w:rFonts w:hint="default"/>
          <w:color w:val="auto"/>
          <w:lang w:val="en-US" w:eastAsia="zh-CN"/>
        </w:rPr>
        <w:t>。</w:t>
      </w:r>
    </w:p>
    <w:p w14:paraId="1FCA378F">
      <w:pPr>
        <w:ind w:left="0" w:leftChars="0" w:firstLine="0" w:firstLineChars="0"/>
        <w:jc w:val="center"/>
        <w:rPr>
          <w:rFonts w:hint="eastAsia"/>
          <w:color w:val="auto"/>
          <w:lang w:val="en-US" w:eastAsia="zh-CN"/>
        </w:rPr>
      </w:pPr>
      <w:r>
        <w:rPr>
          <w:rFonts w:hint="default"/>
          <w:color w:val="auto"/>
          <w:lang w:val="en-US" w:eastAsia="zh-CN"/>
        </w:rPr>
        <w:t>表</w:t>
      </w:r>
      <w:r>
        <w:rPr>
          <w:rFonts w:hint="eastAsia"/>
          <w:color w:val="auto"/>
          <w:lang w:val="en-US" w:eastAsia="zh-CN"/>
        </w:rPr>
        <w:t>2.4</w:t>
      </w:r>
      <w:r>
        <w:rPr>
          <w:rFonts w:hint="default"/>
          <w:color w:val="auto"/>
          <w:lang w:val="en-US" w:eastAsia="zh-CN"/>
        </w:rPr>
        <w:t>-</w:t>
      </w:r>
      <w:r>
        <w:rPr>
          <w:rFonts w:hint="eastAsia"/>
          <w:color w:val="auto"/>
          <w:lang w:val="en-US" w:eastAsia="zh-CN"/>
        </w:rPr>
        <w:t>6 表面位移监测点坐标表</w:t>
      </w:r>
    </w:p>
    <w:tbl>
      <w:tblPr>
        <w:tblStyle w:val="19"/>
        <w:tblW w:w="496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11"/>
        <w:gridCol w:w="2823"/>
        <w:gridCol w:w="2825"/>
        <w:gridCol w:w="1658"/>
      </w:tblGrid>
      <w:tr w14:paraId="35B476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1036" w:type="pct"/>
            <w:noWrap w:val="0"/>
            <w:vAlign w:val="center"/>
          </w:tcPr>
          <w:p w14:paraId="0EBCD829">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kern w:val="2"/>
                <w:sz w:val="24"/>
                <w:szCs w:val="24"/>
                <w:vertAlign w:val="baseline"/>
                <w:lang w:val="en-US" w:eastAsia="zh-CN" w:bidi="ar"/>
              </w:rPr>
            </w:pPr>
            <w:r>
              <w:rPr>
                <w:rFonts w:hint="default" w:ascii="Times New Roman" w:hAnsi="Times New Roman" w:cs="Times New Roman"/>
                <w:b/>
                <w:bCs/>
                <w:color w:val="auto"/>
                <w:kern w:val="2"/>
                <w:sz w:val="24"/>
                <w:szCs w:val="24"/>
                <w:vertAlign w:val="baseline"/>
                <w:lang w:val="en-US" w:eastAsia="zh-CN" w:bidi="ar"/>
              </w:rPr>
              <w:t>设备编号</w:t>
            </w:r>
          </w:p>
        </w:tc>
        <w:tc>
          <w:tcPr>
            <w:tcW w:w="1531" w:type="pct"/>
            <w:noWrap w:val="0"/>
            <w:vAlign w:val="center"/>
          </w:tcPr>
          <w:p w14:paraId="62F4611C">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kern w:val="2"/>
                <w:sz w:val="24"/>
                <w:szCs w:val="24"/>
                <w:vertAlign w:val="baseline"/>
                <w:lang w:val="en-US" w:eastAsia="zh-CN" w:bidi="ar"/>
              </w:rPr>
            </w:pPr>
            <w:r>
              <w:rPr>
                <w:rFonts w:hint="default" w:ascii="Times New Roman" w:hAnsi="Times New Roman" w:eastAsia="宋体" w:cs="Times New Roman"/>
                <w:b/>
                <w:bCs/>
                <w:color w:val="auto"/>
                <w:kern w:val="2"/>
                <w:sz w:val="24"/>
                <w:szCs w:val="24"/>
                <w:vertAlign w:val="baseline"/>
                <w:lang w:val="en-US" w:eastAsia="zh-CN" w:bidi="ar"/>
              </w:rPr>
              <w:t>设备类型</w:t>
            </w:r>
          </w:p>
        </w:tc>
        <w:tc>
          <w:tcPr>
            <w:tcW w:w="1532" w:type="pct"/>
            <w:noWrap w:val="0"/>
            <w:vAlign w:val="center"/>
          </w:tcPr>
          <w:p w14:paraId="5E1E34ED">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kern w:val="2"/>
                <w:sz w:val="24"/>
                <w:szCs w:val="24"/>
                <w:vertAlign w:val="baseline"/>
                <w:lang w:val="en-US" w:eastAsia="zh-CN" w:bidi="ar"/>
              </w:rPr>
            </w:pPr>
            <w:r>
              <w:rPr>
                <w:rFonts w:hint="default" w:ascii="Times New Roman" w:hAnsi="Times New Roman" w:cs="Times New Roman"/>
                <w:b/>
                <w:bCs/>
                <w:color w:val="auto"/>
                <w:kern w:val="2"/>
                <w:sz w:val="24"/>
                <w:szCs w:val="24"/>
                <w:vertAlign w:val="baseline"/>
                <w:lang w:val="en-US" w:eastAsia="zh-CN" w:bidi="ar"/>
              </w:rPr>
              <w:t>设备串号（SN）</w:t>
            </w:r>
          </w:p>
        </w:tc>
        <w:tc>
          <w:tcPr>
            <w:tcW w:w="899" w:type="pct"/>
            <w:noWrap w:val="0"/>
            <w:vAlign w:val="center"/>
          </w:tcPr>
          <w:p w14:paraId="7731B464">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kern w:val="2"/>
                <w:sz w:val="24"/>
                <w:szCs w:val="24"/>
                <w:vertAlign w:val="baseline"/>
                <w:lang w:val="en-US" w:eastAsia="zh-CN" w:bidi="ar"/>
              </w:rPr>
            </w:pPr>
            <w:r>
              <w:rPr>
                <w:rFonts w:hint="default" w:ascii="Times New Roman" w:hAnsi="Times New Roman" w:cs="Times New Roman"/>
                <w:b/>
                <w:bCs/>
                <w:color w:val="auto"/>
                <w:kern w:val="2"/>
                <w:sz w:val="24"/>
                <w:szCs w:val="24"/>
                <w:vertAlign w:val="baseline"/>
                <w:lang w:val="en-US" w:eastAsia="zh-CN" w:bidi="ar"/>
              </w:rPr>
              <w:t>所属项目</w:t>
            </w:r>
          </w:p>
        </w:tc>
      </w:tr>
      <w:tr w14:paraId="0E6FC9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1036" w:type="pct"/>
            <w:noWrap w:val="0"/>
            <w:vAlign w:val="center"/>
          </w:tcPr>
          <w:p w14:paraId="0DAF8587">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4"/>
                <w:szCs w:val="24"/>
                <w:vertAlign w:val="baseline"/>
                <w:lang w:val="en-US" w:eastAsia="zh-CN" w:bidi="ar"/>
              </w:rPr>
            </w:pPr>
            <w:r>
              <w:rPr>
                <w:rFonts w:hint="default" w:ascii="Times New Roman" w:hAnsi="Times New Roman" w:cs="Times New Roman"/>
                <w:color w:val="auto"/>
                <w:kern w:val="2"/>
                <w:sz w:val="24"/>
                <w:szCs w:val="24"/>
                <w:vertAlign w:val="baseline"/>
                <w:lang w:val="en-US" w:eastAsia="zh-CN" w:bidi="ar"/>
              </w:rPr>
              <w:t>JZ</w:t>
            </w:r>
          </w:p>
        </w:tc>
        <w:tc>
          <w:tcPr>
            <w:tcW w:w="1531" w:type="pct"/>
            <w:noWrap w:val="0"/>
            <w:vAlign w:val="center"/>
          </w:tcPr>
          <w:p w14:paraId="08370D6D">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4"/>
                <w:szCs w:val="24"/>
                <w:vertAlign w:val="baseline"/>
                <w:lang w:val="en-US" w:eastAsia="zh-CN" w:bidi="ar"/>
              </w:rPr>
            </w:pPr>
            <w:r>
              <w:rPr>
                <w:rFonts w:hint="default" w:ascii="Times New Roman" w:hAnsi="Times New Roman" w:eastAsia="宋体" w:cs="Times New Roman"/>
                <w:color w:val="auto"/>
                <w:kern w:val="2"/>
                <w:sz w:val="24"/>
                <w:szCs w:val="24"/>
                <w:vertAlign w:val="baseline"/>
                <w:lang w:val="en-US" w:eastAsia="zh-CN" w:bidi="ar"/>
              </w:rPr>
              <w:t>基准站-1</w:t>
            </w:r>
          </w:p>
        </w:tc>
        <w:tc>
          <w:tcPr>
            <w:tcW w:w="1532" w:type="pct"/>
            <w:noWrap w:val="0"/>
            <w:vAlign w:val="center"/>
          </w:tcPr>
          <w:p w14:paraId="536FF05B">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4"/>
                <w:szCs w:val="24"/>
                <w:vertAlign w:val="baseline"/>
                <w:lang w:val="en-US" w:eastAsia="zh-CN" w:bidi="ar"/>
              </w:rPr>
            </w:pPr>
            <w:r>
              <w:rPr>
                <w:rFonts w:hint="default" w:ascii="Times New Roman" w:hAnsi="Times New Roman" w:eastAsia="宋体" w:cs="Times New Roman"/>
                <w:color w:val="auto"/>
                <w:kern w:val="2"/>
                <w:sz w:val="24"/>
                <w:szCs w:val="24"/>
                <w:vertAlign w:val="baseline"/>
                <w:lang w:val="en-US" w:eastAsia="zh-CN" w:bidi="ar"/>
              </w:rPr>
              <w:t>MS3P1734064024</w:t>
            </w:r>
          </w:p>
        </w:tc>
        <w:tc>
          <w:tcPr>
            <w:tcW w:w="899" w:type="pct"/>
            <w:noWrap w:val="0"/>
            <w:vAlign w:val="center"/>
          </w:tcPr>
          <w:p w14:paraId="692798CA">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4"/>
                <w:szCs w:val="24"/>
                <w:vertAlign w:val="baseline"/>
                <w:lang w:val="en-US" w:eastAsia="zh-CN" w:bidi="ar"/>
              </w:rPr>
            </w:pPr>
            <w:r>
              <w:rPr>
                <w:rFonts w:hint="default" w:ascii="Times New Roman" w:hAnsi="Times New Roman" w:cs="Times New Roman"/>
                <w:color w:val="auto"/>
                <w:kern w:val="2"/>
                <w:sz w:val="24"/>
                <w:szCs w:val="24"/>
                <w:vertAlign w:val="baseline"/>
                <w:lang w:val="en-US" w:eastAsia="zh-CN" w:bidi="ar"/>
              </w:rPr>
              <w:t>边坡安全监测</w:t>
            </w:r>
          </w:p>
        </w:tc>
      </w:tr>
      <w:tr w14:paraId="2B6764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1036" w:type="pct"/>
            <w:noWrap w:val="0"/>
            <w:vAlign w:val="center"/>
          </w:tcPr>
          <w:p w14:paraId="747CF4D7">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4"/>
                <w:szCs w:val="24"/>
                <w:vertAlign w:val="baseline"/>
                <w:lang w:val="en-US" w:eastAsia="zh-CN" w:bidi="ar"/>
              </w:rPr>
            </w:pPr>
            <w:r>
              <w:rPr>
                <w:rFonts w:hint="default" w:ascii="Times New Roman" w:hAnsi="Times New Roman" w:cs="Times New Roman"/>
                <w:color w:val="auto"/>
                <w:kern w:val="2"/>
                <w:sz w:val="24"/>
                <w:szCs w:val="24"/>
                <w:vertAlign w:val="baseline"/>
                <w:lang w:val="en-US" w:eastAsia="zh-CN" w:bidi="ar"/>
              </w:rPr>
              <w:t>WY1</w:t>
            </w:r>
          </w:p>
        </w:tc>
        <w:tc>
          <w:tcPr>
            <w:tcW w:w="1531" w:type="pct"/>
            <w:noWrap w:val="0"/>
            <w:vAlign w:val="center"/>
          </w:tcPr>
          <w:p w14:paraId="02872A28">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4"/>
                <w:szCs w:val="24"/>
                <w:vertAlign w:val="baseline"/>
                <w:lang w:val="en-US" w:eastAsia="zh-CN" w:bidi="ar"/>
              </w:rPr>
            </w:pPr>
            <w:r>
              <w:rPr>
                <w:rFonts w:hint="default" w:ascii="Times New Roman" w:hAnsi="Times New Roman" w:eastAsia="宋体" w:cs="Times New Roman"/>
                <w:color w:val="auto"/>
                <w:kern w:val="2"/>
                <w:sz w:val="24"/>
                <w:szCs w:val="24"/>
                <w:vertAlign w:val="baseline"/>
                <w:lang w:val="en-US" w:eastAsia="zh-CN" w:bidi="ar"/>
              </w:rPr>
              <w:t>监测站</w:t>
            </w:r>
          </w:p>
        </w:tc>
        <w:tc>
          <w:tcPr>
            <w:tcW w:w="1532" w:type="pct"/>
            <w:noWrap w:val="0"/>
            <w:vAlign w:val="center"/>
          </w:tcPr>
          <w:p w14:paraId="3342ACD7">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4"/>
                <w:szCs w:val="24"/>
                <w:vertAlign w:val="baseline"/>
                <w:lang w:val="en-US" w:eastAsia="zh-CN" w:bidi="ar"/>
              </w:rPr>
            </w:pPr>
            <w:r>
              <w:rPr>
                <w:rFonts w:hint="default" w:ascii="Times New Roman" w:hAnsi="Times New Roman" w:eastAsia="宋体" w:cs="Times New Roman"/>
                <w:color w:val="auto"/>
                <w:kern w:val="2"/>
                <w:sz w:val="24"/>
                <w:szCs w:val="24"/>
                <w:vertAlign w:val="baseline"/>
                <w:lang w:val="en-US" w:eastAsia="zh-CN" w:bidi="ar"/>
              </w:rPr>
              <w:t>MS3P1734064034</w:t>
            </w:r>
          </w:p>
        </w:tc>
        <w:tc>
          <w:tcPr>
            <w:tcW w:w="899" w:type="pct"/>
            <w:noWrap w:val="0"/>
            <w:vAlign w:val="center"/>
          </w:tcPr>
          <w:p w14:paraId="5D05960E">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4"/>
                <w:szCs w:val="24"/>
                <w:vertAlign w:val="baseline"/>
                <w:lang w:val="en-US" w:eastAsia="zh-CN" w:bidi="ar"/>
              </w:rPr>
            </w:pPr>
            <w:r>
              <w:rPr>
                <w:rFonts w:hint="default" w:ascii="Times New Roman" w:hAnsi="Times New Roman" w:cs="Times New Roman"/>
                <w:color w:val="auto"/>
                <w:kern w:val="2"/>
                <w:sz w:val="24"/>
                <w:szCs w:val="24"/>
                <w:vertAlign w:val="baseline"/>
                <w:lang w:val="en-US" w:eastAsia="zh-CN" w:bidi="ar"/>
              </w:rPr>
              <w:t>边坡安全监测</w:t>
            </w:r>
          </w:p>
        </w:tc>
      </w:tr>
      <w:tr w14:paraId="7ADA8D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1036" w:type="pct"/>
            <w:noWrap w:val="0"/>
            <w:vAlign w:val="center"/>
          </w:tcPr>
          <w:p w14:paraId="68214DAE">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4"/>
                <w:szCs w:val="24"/>
                <w:vertAlign w:val="baseline"/>
                <w:lang w:val="en-US" w:eastAsia="zh-CN" w:bidi="ar"/>
              </w:rPr>
            </w:pPr>
            <w:r>
              <w:rPr>
                <w:rFonts w:hint="default" w:ascii="Times New Roman" w:hAnsi="Times New Roman" w:cs="Times New Roman"/>
                <w:color w:val="auto"/>
                <w:kern w:val="2"/>
                <w:sz w:val="24"/>
                <w:szCs w:val="24"/>
                <w:vertAlign w:val="baseline"/>
                <w:lang w:val="en-US" w:eastAsia="zh-CN" w:bidi="ar"/>
              </w:rPr>
              <w:t>WY2</w:t>
            </w:r>
          </w:p>
        </w:tc>
        <w:tc>
          <w:tcPr>
            <w:tcW w:w="1531" w:type="pct"/>
            <w:noWrap w:val="0"/>
            <w:vAlign w:val="center"/>
          </w:tcPr>
          <w:p w14:paraId="263C0D8C">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4"/>
                <w:szCs w:val="24"/>
                <w:vertAlign w:val="baseline"/>
                <w:lang w:val="en-US" w:eastAsia="zh-CN" w:bidi="ar"/>
              </w:rPr>
            </w:pPr>
            <w:r>
              <w:rPr>
                <w:rFonts w:hint="default" w:ascii="Times New Roman" w:hAnsi="Times New Roman" w:eastAsia="宋体" w:cs="Times New Roman"/>
                <w:color w:val="auto"/>
                <w:kern w:val="2"/>
                <w:sz w:val="24"/>
                <w:szCs w:val="24"/>
                <w:vertAlign w:val="baseline"/>
                <w:lang w:val="en-US" w:eastAsia="zh-CN" w:bidi="ar"/>
              </w:rPr>
              <w:t>监测站</w:t>
            </w:r>
          </w:p>
        </w:tc>
        <w:tc>
          <w:tcPr>
            <w:tcW w:w="1532" w:type="pct"/>
            <w:noWrap w:val="0"/>
            <w:vAlign w:val="center"/>
          </w:tcPr>
          <w:p w14:paraId="44C72892">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4"/>
                <w:szCs w:val="24"/>
                <w:vertAlign w:val="baseline"/>
                <w:lang w:val="en-US" w:eastAsia="zh-CN" w:bidi="ar"/>
              </w:rPr>
            </w:pPr>
            <w:r>
              <w:rPr>
                <w:rFonts w:hint="default" w:ascii="Times New Roman" w:hAnsi="Times New Roman" w:eastAsia="宋体" w:cs="Times New Roman"/>
                <w:color w:val="auto"/>
                <w:kern w:val="2"/>
                <w:sz w:val="24"/>
                <w:szCs w:val="24"/>
                <w:vertAlign w:val="baseline"/>
                <w:lang w:val="en-US" w:eastAsia="zh-CN" w:bidi="ar"/>
              </w:rPr>
              <w:t>MS3P1734103001</w:t>
            </w:r>
          </w:p>
        </w:tc>
        <w:tc>
          <w:tcPr>
            <w:tcW w:w="899" w:type="pct"/>
            <w:noWrap w:val="0"/>
            <w:vAlign w:val="center"/>
          </w:tcPr>
          <w:p w14:paraId="4827FDED">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4"/>
                <w:szCs w:val="24"/>
                <w:vertAlign w:val="baseline"/>
                <w:lang w:val="en-US" w:eastAsia="zh-CN" w:bidi="ar"/>
              </w:rPr>
            </w:pPr>
            <w:r>
              <w:rPr>
                <w:rFonts w:hint="default" w:ascii="Times New Roman" w:hAnsi="Times New Roman" w:cs="Times New Roman"/>
                <w:color w:val="auto"/>
                <w:kern w:val="2"/>
                <w:sz w:val="24"/>
                <w:szCs w:val="24"/>
                <w:vertAlign w:val="baseline"/>
                <w:lang w:val="en-US" w:eastAsia="zh-CN" w:bidi="ar"/>
              </w:rPr>
              <w:t>边坡安全监测</w:t>
            </w:r>
          </w:p>
        </w:tc>
      </w:tr>
      <w:tr w14:paraId="70C52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1036" w:type="pct"/>
            <w:noWrap w:val="0"/>
            <w:vAlign w:val="center"/>
          </w:tcPr>
          <w:p w14:paraId="1E05A8C7">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4"/>
                <w:szCs w:val="24"/>
                <w:vertAlign w:val="baseline"/>
                <w:lang w:val="en-US" w:eastAsia="zh-CN" w:bidi="ar"/>
              </w:rPr>
            </w:pPr>
            <w:r>
              <w:rPr>
                <w:rFonts w:hint="default" w:ascii="Times New Roman" w:hAnsi="Times New Roman" w:cs="Times New Roman"/>
                <w:color w:val="auto"/>
                <w:kern w:val="2"/>
                <w:sz w:val="24"/>
                <w:szCs w:val="24"/>
                <w:vertAlign w:val="baseline"/>
                <w:lang w:val="en-US" w:eastAsia="zh-CN" w:bidi="ar"/>
              </w:rPr>
              <w:t>WY3</w:t>
            </w:r>
          </w:p>
        </w:tc>
        <w:tc>
          <w:tcPr>
            <w:tcW w:w="1531" w:type="pct"/>
            <w:noWrap w:val="0"/>
            <w:vAlign w:val="center"/>
          </w:tcPr>
          <w:p w14:paraId="5F328308">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4"/>
                <w:szCs w:val="24"/>
                <w:vertAlign w:val="baseline"/>
                <w:lang w:val="en-US" w:eastAsia="zh-CN" w:bidi="ar"/>
              </w:rPr>
            </w:pPr>
            <w:r>
              <w:rPr>
                <w:rFonts w:hint="default" w:ascii="Times New Roman" w:hAnsi="Times New Roman" w:eastAsia="宋体" w:cs="Times New Roman"/>
                <w:color w:val="auto"/>
                <w:kern w:val="2"/>
                <w:sz w:val="24"/>
                <w:szCs w:val="24"/>
                <w:vertAlign w:val="baseline"/>
                <w:lang w:val="en-US" w:eastAsia="zh-CN" w:bidi="ar"/>
              </w:rPr>
              <w:t>监测站</w:t>
            </w:r>
          </w:p>
        </w:tc>
        <w:tc>
          <w:tcPr>
            <w:tcW w:w="1532" w:type="pct"/>
            <w:noWrap w:val="0"/>
            <w:vAlign w:val="center"/>
          </w:tcPr>
          <w:p w14:paraId="6DA56782">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4"/>
                <w:szCs w:val="24"/>
                <w:vertAlign w:val="baseline"/>
                <w:lang w:val="en-US" w:eastAsia="zh-CN" w:bidi="ar"/>
              </w:rPr>
            </w:pPr>
            <w:r>
              <w:rPr>
                <w:rFonts w:hint="default" w:ascii="Times New Roman" w:hAnsi="Times New Roman" w:eastAsia="宋体" w:cs="Times New Roman"/>
                <w:color w:val="auto"/>
                <w:kern w:val="2"/>
                <w:sz w:val="24"/>
                <w:szCs w:val="24"/>
                <w:vertAlign w:val="baseline"/>
                <w:lang w:val="en-US" w:eastAsia="zh-CN" w:bidi="ar"/>
              </w:rPr>
              <w:t>MS3P1734103018</w:t>
            </w:r>
          </w:p>
        </w:tc>
        <w:tc>
          <w:tcPr>
            <w:tcW w:w="899" w:type="pct"/>
            <w:noWrap w:val="0"/>
            <w:vAlign w:val="center"/>
          </w:tcPr>
          <w:p w14:paraId="2425CF6B">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4"/>
                <w:szCs w:val="24"/>
                <w:vertAlign w:val="baseline"/>
                <w:lang w:val="en-US" w:eastAsia="zh-CN" w:bidi="ar"/>
              </w:rPr>
            </w:pPr>
            <w:r>
              <w:rPr>
                <w:rFonts w:hint="default" w:ascii="Times New Roman" w:hAnsi="Times New Roman" w:cs="Times New Roman"/>
                <w:color w:val="auto"/>
                <w:kern w:val="2"/>
                <w:sz w:val="24"/>
                <w:szCs w:val="24"/>
                <w:vertAlign w:val="baseline"/>
                <w:lang w:val="en-US" w:eastAsia="zh-CN" w:bidi="ar"/>
              </w:rPr>
              <w:t>边坡安全监测</w:t>
            </w:r>
          </w:p>
        </w:tc>
      </w:tr>
      <w:tr w14:paraId="0077C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1036" w:type="pct"/>
            <w:noWrap w:val="0"/>
            <w:vAlign w:val="center"/>
          </w:tcPr>
          <w:p w14:paraId="61EB7FF5">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4"/>
                <w:szCs w:val="24"/>
                <w:vertAlign w:val="baseline"/>
                <w:lang w:val="en-US" w:eastAsia="zh-CN" w:bidi="ar"/>
              </w:rPr>
            </w:pPr>
            <w:r>
              <w:rPr>
                <w:rFonts w:hint="default" w:ascii="Times New Roman" w:hAnsi="Times New Roman" w:cs="Times New Roman"/>
                <w:color w:val="auto"/>
                <w:kern w:val="2"/>
                <w:sz w:val="24"/>
                <w:szCs w:val="24"/>
                <w:vertAlign w:val="baseline"/>
                <w:lang w:val="en-US" w:eastAsia="zh-CN" w:bidi="ar"/>
              </w:rPr>
              <w:t>WY4</w:t>
            </w:r>
          </w:p>
        </w:tc>
        <w:tc>
          <w:tcPr>
            <w:tcW w:w="1531" w:type="pct"/>
            <w:noWrap w:val="0"/>
            <w:vAlign w:val="center"/>
          </w:tcPr>
          <w:p w14:paraId="145B7D4E">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4"/>
                <w:szCs w:val="24"/>
                <w:vertAlign w:val="baseline"/>
                <w:lang w:val="en-US" w:eastAsia="zh-CN" w:bidi="ar"/>
              </w:rPr>
            </w:pPr>
            <w:r>
              <w:rPr>
                <w:rFonts w:hint="default" w:ascii="Times New Roman" w:hAnsi="Times New Roman" w:eastAsia="宋体" w:cs="Times New Roman"/>
                <w:color w:val="auto"/>
                <w:kern w:val="2"/>
                <w:sz w:val="24"/>
                <w:szCs w:val="24"/>
                <w:vertAlign w:val="baseline"/>
                <w:lang w:val="en-US" w:eastAsia="zh-CN" w:bidi="ar"/>
              </w:rPr>
              <w:t>监测站</w:t>
            </w:r>
          </w:p>
        </w:tc>
        <w:tc>
          <w:tcPr>
            <w:tcW w:w="1532" w:type="pct"/>
            <w:noWrap w:val="0"/>
            <w:vAlign w:val="center"/>
          </w:tcPr>
          <w:p w14:paraId="13CFE78C">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4"/>
                <w:szCs w:val="24"/>
                <w:vertAlign w:val="baseline"/>
                <w:lang w:val="en-US" w:eastAsia="zh-CN" w:bidi="ar"/>
              </w:rPr>
            </w:pPr>
            <w:r>
              <w:rPr>
                <w:rFonts w:hint="default" w:ascii="Times New Roman" w:hAnsi="Times New Roman" w:eastAsia="宋体" w:cs="Times New Roman"/>
                <w:color w:val="auto"/>
                <w:kern w:val="2"/>
                <w:sz w:val="24"/>
                <w:szCs w:val="24"/>
                <w:vertAlign w:val="baseline"/>
                <w:lang w:val="en-US" w:eastAsia="zh-CN" w:bidi="ar"/>
              </w:rPr>
              <w:t>MS3P1734103045</w:t>
            </w:r>
          </w:p>
        </w:tc>
        <w:tc>
          <w:tcPr>
            <w:tcW w:w="899" w:type="pct"/>
            <w:noWrap w:val="0"/>
            <w:vAlign w:val="center"/>
          </w:tcPr>
          <w:p w14:paraId="0F2FE3CB">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4"/>
                <w:szCs w:val="24"/>
                <w:vertAlign w:val="baseline"/>
                <w:lang w:val="en-US" w:eastAsia="zh-CN" w:bidi="ar"/>
              </w:rPr>
            </w:pPr>
            <w:r>
              <w:rPr>
                <w:rFonts w:hint="default" w:ascii="Times New Roman" w:hAnsi="Times New Roman" w:cs="Times New Roman"/>
                <w:color w:val="auto"/>
                <w:kern w:val="2"/>
                <w:sz w:val="24"/>
                <w:szCs w:val="24"/>
                <w:vertAlign w:val="baseline"/>
                <w:lang w:val="en-US" w:eastAsia="zh-CN" w:bidi="ar"/>
              </w:rPr>
              <w:t>边坡安全监测</w:t>
            </w:r>
          </w:p>
        </w:tc>
      </w:tr>
      <w:tr w14:paraId="1C504F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1036" w:type="pct"/>
            <w:noWrap w:val="0"/>
            <w:vAlign w:val="center"/>
          </w:tcPr>
          <w:p w14:paraId="7A0CF7C9">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4"/>
                <w:szCs w:val="24"/>
                <w:vertAlign w:val="baseline"/>
                <w:lang w:val="en-US" w:eastAsia="zh-CN" w:bidi="ar"/>
              </w:rPr>
            </w:pPr>
            <w:r>
              <w:rPr>
                <w:rFonts w:hint="default" w:ascii="Times New Roman" w:hAnsi="Times New Roman" w:cs="Times New Roman"/>
                <w:color w:val="auto"/>
                <w:kern w:val="2"/>
                <w:sz w:val="24"/>
                <w:szCs w:val="24"/>
                <w:vertAlign w:val="baseline"/>
                <w:lang w:val="en-US" w:eastAsia="zh-CN" w:bidi="ar"/>
              </w:rPr>
              <w:t>WY5</w:t>
            </w:r>
          </w:p>
        </w:tc>
        <w:tc>
          <w:tcPr>
            <w:tcW w:w="1531" w:type="pct"/>
            <w:noWrap w:val="0"/>
            <w:vAlign w:val="center"/>
          </w:tcPr>
          <w:p w14:paraId="7A0EA197">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4"/>
                <w:szCs w:val="24"/>
                <w:vertAlign w:val="baseline"/>
                <w:lang w:val="en-US" w:eastAsia="zh-CN" w:bidi="ar"/>
              </w:rPr>
            </w:pPr>
            <w:r>
              <w:rPr>
                <w:rFonts w:hint="default" w:ascii="Times New Roman" w:hAnsi="Times New Roman" w:eastAsia="宋体" w:cs="Times New Roman"/>
                <w:color w:val="auto"/>
                <w:kern w:val="2"/>
                <w:sz w:val="24"/>
                <w:szCs w:val="24"/>
                <w:vertAlign w:val="baseline"/>
                <w:lang w:val="en-US" w:eastAsia="zh-CN" w:bidi="ar"/>
              </w:rPr>
              <w:t>监测站</w:t>
            </w:r>
          </w:p>
        </w:tc>
        <w:tc>
          <w:tcPr>
            <w:tcW w:w="1532" w:type="pct"/>
            <w:noWrap w:val="0"/>
            <w:vAlign w:val="center"/>
          </w:tcPr>
          <w:p w14:paraId="281C7F78">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4"/>
                <w:szCs w:val="24"/>
                <w:vertAlign w:val="baseline"/>
                <w:lang w:val="en-US" w:eastAsia="zh-CN" w:bidi="ar"/>
              </w:rPr>
            </w:pPr>
            <w:r>
              <w:rPr>
                <w:rFonts w:hint="default" w:ascii="Times New Roman" w:hAnsi="Times New Roman" w:eastAsia="宋体" w:cs="Times New Roman"/>
                <w:color w:val="auto"/>
                <w:kern w:val="2"/>
                <w:sz w:val="24"/>
                <w:szCs w:val="24"/>
                <w:vertAlign w:val="baseline"/>
                <w:lang w:val="en-US" w:eastAsia="zh-CN" w:bidi="ar"/>
              </w:rPr>
              <w:t>MS3P1734103033</w:t>
            </w:r>
          </w:p>
        </w:tc>
        <w:tc>
          <w:tcPr>
            <w:tcW w:w="899" w:type="pct"/>
            <w:noWrap w:val="0"/>
            <w:vAlign w:val="center"/>
          </w:tcPr>
          <w:p w14:paraId="740ED1DE">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4"/>
                <w:szCs w:val="24"/>
                <w:vertAlign w:val="baseline"/>
                <w:lang w:val="en-US" w:eastAsia="zh-CN" w:bidi="ar"/>
              </w:rPr>
            </w:pPr>
            <w:r>
              <w:rPr>
                <w:rFonts w:hint="default" w:ascii="Times New Roman" w:hAnsi="Times New Roman" w:cs="Times New Roman"/>
                <w:color w:val="auto"/>
                <w:kern w:val="2"/>
                <w:sz w:val="24"/>
                <w:szCs w:val="24"/>
                <w:vertAlign w:val="baseline"/>
                <w:lang w:val="en-US" w:eastAsia="zh-CN" w:bidi="ar"/>
              </w:rPr>
              <w:t>边坡安全监测</w:t>
            </w:r>
          </w:p>
        </w:tc>
      </w:tr>
      <w:tr w14:paraId="73BB69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1036" w:type="pct"/>
            <w:noWrap w:val="0"/>
            <w:vAlign w:val="center"/>
          </w:tcPr>
          <w:p w14:paraId="3CA86BB1">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4"/>
                <w:szCs w:val="24"/>
                <w:vertAlign w:val="baseline"/>
                <w:lang w:val="en-US" w:eastAsia="zh-CN" w:bidi="ar"/>
              </w:rPr>
            </w:pPr>
            <w:r>
              <w:rPr>
                <w:rFonts w:hint="default" w:ascii="Times New Roman" w:hAnsi="Times New Roman" w:cs="Times New Roman"/>
                <w:color w:val="auto"/>
                <w:kern w:val="2"/>
                <w:sz w:val="24"/>
                <w:szCs w:val="24"/>
                <w:vertAlign w:val="baseline"/>
                <w:lang w:val="en-US" w:eastAsia="zh-CN" w:bidi="ar"/>
              </w:rPr>
              <w:t>WY6</w:t>
            </w:r>
          </w:p>
        </w:tc>
        <w:tc>
          <w:tcPr>
            <w:tcW w:w="1531" w:type="pct"/>
            <w:noWrap w:val="0"/>
            <w:vAlign w:val="center"/>
          </w:tcPr>
          <w:p w14:paraId="6D87FE34">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4"/>
                <w:szCs w:val="24"/>
                <w:vertAlign w:val="baseline"/>
                <w:lang w:val="en-US" w:eastAsia="zh-CN" w:bidi="ar"/>
              </w:rPr>
            </w:pPr>
            <w:r>
              <w:rPr>
                <w:rFonts w:hint="default" w:ascii="Times New Roman" w:hAnsi="Times New Roman" w:eastAsia="宋体" w:cs="Times New Roman"/>
                <w:color w:val="auto"/>
                <w:kern w:val="2"/>
                <w:sz w:val="24"/>
                <w:szCs w:val="24"/>
                <w:vertAlign w:val="baseline"/>
                <w:lang w:val="en-US" w:eastAsia="zh-CN" w:bidi="ar"/>
              </w:rPr>
              <w:t>监测站</w:t>
            </w:r>
          </w:p>
        </w:tc>
        <w:tc>
          <w:tcPr>
            <w:tcW w:w="1532" w:type="pct"/>
            <w:noWrap w:val="0"/>
            <w:vAlign w:val="center"/>
          </w:tcPr>
          <w:p w14:paraId="68B95E93">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4"/>
                <w:szCs w:val="24"/>
                <w:vertAlign w:val="baseline"/>
                <w:lang w:val="en-US" w:eastAsia="zh-CN" w:bidi="ar"/>
              </w:rPr>
            </w:pPr>
            <w:r>
              <w:rPr>
                <w:rFonts w:hint="default" w:ascii="Times New Roman" w:hAnsi="Times New Roman" w:eastAsia="宋体" w:cs="Times New Roman"/>
                <w:color w:val="auto"/>
                <w:kern w:val="2"/>
                <w:sz w:val="24"/>
                <w:szCs w:val="24"/>
                <w:vertAlign w:val="baseline"/>
                <w:lang w:val="en-US" w:eastAsia="zh-CN" w:bidi="ar"/>
              </w:rPr>
              <w:t>MS3P1734103043</w:t>
            </w:r>
          </w:p>
        </w:tc>
        <w:tc>
          <w:tcPr>
            <w:tcW w:w="899" w:type="pct"/>
            <w:noWrap w:val="0"/>
            <w:vAlign w:val="center"/>
          </w:tcPr>
          <w:p w14:paraId="29C9D060">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4"/>
                <w:szCs w:val="24"/>
                <w:vertAlign w:val="baseline"/>
                <w:lang w:val="en-US" w:eastAsia="zh-CN" w:bidi="ar"/>
              </w:rPr>
            </w:pPr>
            <w:r>
              <w:rPr>
                <w:rFonts w:hint="default" w:ascii="Times New Roman" w:hAnsi="Times New Roman" w:cs="Times New Roman"/>
                <w:color w:val="auto"/>
                <w:kern w:val="2"/>
                <w:sz w:val="24"/>
                <w:szCs w:val="24"/>
                <w:vertAlign w:val="baseline"/>
                <w:lang w:val="en-US" w:eastAsia="zh-CN" w:bidi="ar"/>
              </w:rPr>
              <w:t>边坡安全监测</w:t>
            </w:r>
          </w:p>
        </w:tc>
      </w:tr>
      <w:tr w14:paraId="5CFB2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1036" w:type="pct"/>
            <w:noWrap w:val="0"/>
            <w:vAlign w:val="center"/>
          </w:tcPr>
          <w:p w14:paraId="0A9814D9">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4"/>
                <w:szCs w:val="24"/>
                <w:vertAlign w:val="baseline"/>
                <w:lang w:val="en-US" w:eastAsia="zh-CN" w:bidi="ar"/>
              </w:rPr>
            </w:pPr>
            <w:r>
              <w:rPr>
                <w:rFonts w:hint="default" w:ascii="Times New Roman" w:hAnsi="Times New Roman" w:cs="Times New Roman"/>
                <w:color w:val="auto"/>
                <w:kern w:val="2"/>
                <w:sz w:val="24"/>
                <w:szCs w:val="24"/>
                <w:vertAlign w:val="baseline"/>
                <w:lang w:val="en-US" w:eastAsia="zh-CN" w:bidi="ar"/>
              </w:rPr>
              <w:t>WY7</w:t>
            </w:r>
          </w:p>
        </w:tc>
        <w:tc>
          <w:tcPr>
            <w:tcW w:w="1531" w:type="pct"/>
            <w:noWrap w:val="0"/>
            <w:vAlign w:val="center"/>
          </w:tcPr>
          <w:p w14:paraId="646C25C9">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4"/>
                <w:szCs w:val="24"/>
                <w:vertAlign w:val="baseline"/>
                <w:lang w:val="en-US" w:eastAsia="zh-CN" w:bidi="ar"/>
              </w:rPr>
            </w:pPr>
            <w:r>
              <w:rPr>
                <w:rFonts w:hint="default" w:ascii="Times New Roman" w:hAnsi="Times New Roman" w:eastAsia="宋体" w:cs="Times New Roman"/>
                <w:color w:val="auto"/>
                <w:kern w:val="2"/>
                <w:sz w:val="24"/>
                <w:szCs w:val="24"/>
                <w:vertAlign w:val="baseline"/>
                <w:lang w:val="en-US" w:eastAsia="zh-CN" w:bidi="ar"/>
              </w:rPr>
              <w:t>监测站</w:t>
            </w:r>
          </w:p>
        </w:tc>
        <w:tc>
          <w:tcPr>
            <w:tcW w:w="1532" w:type="pct"/>
            <w:noWrap w:val="0"/>
            <w:vAlign w:val="center"/>
          </w:tcPr>
          <w:p w14:paraId="11E16792">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4"/>
                <w:szCs w:val="24"/>
                <w:vertAlign w:val="baseline"/>
                <w:lang w:val="en-US" w:eastAsia="zh-CN" w:bidi="ar"/>
              </w:rPr>
            </w:pPr>
            <w:r>
              <w:rPr>
                <w:rFonts w:hint="default" w:ascii="Times New Roman" w:hAnsi="Times New Roman" w:eastAsia="宋体" w:cs="Times New Roman"/>
                <w:color w:val="auto"/>
                <w:kern w:val="2"/>
                <w:sz w:val="24"/>
                <w:szCs w:val="24"/>
                <w:vertAlign w:val="baseline"/>
                <w:lang w:val="en-US" w:eastAsia="zh-CN" w:bidi="ar"/>
              </w:rPr>
              <w:t>MS3P1734103050</w:t>
            </w:r>
          </w:p>
        </w:tc>
        <w:tc>
          <w:tcPr>
            <w:tcW w:w="899" w:type="pct"/>
            <w:noWrap w:val="0"/>
            <w:vAlign w:val="center"/>
          </w:tcPr>
          <w:p w14:paraId="4E70AA03">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4"/>
                <w:szCs w:val="24"/>
                <w:vertAlign w:val="baseline"/>
                <w:lang w:val="en-US" w:eastAsia="zh-CN" w:bidi="ar"/>
              </w:rPr>
            </w:pPr>
            <w:r>
              <w:rPr>
                <w:rFonts w:hint="default" w:ascii="Times New Roman" w:hAnsi="Times New Roman" w:cs="Times New Roman"/>
                <w:color w:val="auto"/>
                <w:kern w:val="2"/>
                <w:sz w:val="24"/>
                <w:szCs w:val="24"/>
                <w:vertAlign w:val="baseline"/>
                <w:lang w:val="en-US" w:eastAsia="zh-CN" w:bidi="ar"/>
              </w:rPr>
              <w:t>边坡安全监测</w:t>
            </w:r>
          </w:p>
        </w:tc>
      </w:tr>
      <w:tr w14:paraId="2328F6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1036" w:type="pct"/>
            <w:noWrap w:val="0"/>
            <w:vAlign w:val="center"/>
          </w:tcPr>
          <w:p w14:paraId="2AC2ED50">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4"/>
                <w:szCs w:val="24"/>
                <w:vertAlign w:val="baseline"/>
                <w:lang w:val="en-US" w:eastAsia="zh-CN" w:bidi="ar"/>
              </w:rPr>
            </w:pPr>
            <w:r>
              <w:rPr>
                <w:rFonts w:hint="default" w:ascii="Times New Roman" w:hAnsi="Times New Roman" w:cs="Times New Roman"/>
                <w:color w:val="auto"/>
                <w:kern w:val="2"/>
                <w:sz w:val="24"/>
                <w:szCs w:val="24"/>
                <w:vertAlign w:val="baseline"/>
                <w:lang w:val="en-US" w:eastAsia="zh-CN" w:bidi="ar"/>
              </w:rPr>
              <w:t>WY8</w:t>
            </w:r>
          </w:p>
        </w:tc>
        <w:tc>
          <w:tcPr>
            <w:tcW w:w="1531" w:type="pct"/>
            <w:noWrap w:val="0"/>
            <w:vAlign w:val="center"/>
          </w:tcPr>
          <w:p w14:paraId="759478D2">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4"/>
                <w:szCs w:val="24"/>
                <w:vertAlign w:val="baseline"/>
                <w:lang w:val="en-US" w:eastAsia="zh-CN" w:bidi="ar"/>
              </w:rPr>
            </w:pPr>
            <w:r>
              <w:rPr>
                <w:rFonts w:hint="default" w:ascii="Times New Roman" w:hAnsi="Times New Roman" w:eastAsia="宋体" w:cs="Times New Roman"/>
                <w:color w:val="auto"/>
                <w:kern w:val="2"/>
                <w:sz w:val="24"/>
                <w:szCs w:val="24"/>
                <w:vertAlign w:val="baseline"/>
                <w:lang w:val="en-US" w:eastAsia="zh-CN" w:bidi="ar"/>
              </w:rPr>
              <w:t>监测站</w:t>
            </w:r>
          </w:p>
        </w:tc>
        <w:tc>
          <w:tcPr>
            <w:tcW w:w="1532" w:type="pct"/>
            <w:noWrap w:val="0"/>
            <w:vAlign w:val="center"/>
          </w:tcPr>
          <w:p w14:paraId="2BC5A91F">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4"/>
                <w:szCs w:val="24"/>
                <w:vertAlign w:val="baseline"/>
                <w:lang w:val="en-US" w:eastAsia="zh-CN" w:bidi="ar"/>
              </w:rPr>
            </w:pPr>
            <w:r>
              <w:rPr>
                <w:rFonts w:hint="default" w:ascii="Times New Roman" w:hAnsi="Times New Roman" w:eastAsia="宋体" w:cs="Times New Roman"/>
                <w:color w:val="auto"/>
                <w:kern w:val="2"/>
                <w:sz w:val="24"/>
                <w:szCs w:val="24"/>
                <w:vertAlign w:val="baseline"/>
                <w:lang w:val="en-US" w:eastAsia="zh-CN" w:bidi="ar"/>
              </w:rPr>
              <w:t>MS3P1734064024</w:t>
            </w:r>
          </w:p>
        </w:tc>
        <w:tc>
          <w:tcPr>
            <w:tcW w:w="899" w:type="pct"/>
            <w:noWrap w:val="0"/>
            <w:vAlign w:val="center"/>
          </w:tcPr>
          <w:p w14:paraId="28EDDDD8">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4"/>
                <w:szCs w:val="24"/>
                <w:vertAlign w:val="baseline"/>
                <w:lang w:val="en-US" w:eastAsia="zh-CN" w:bidi="ar"/>
              </w:rPr>
            </w:pPr>
            <w:r>
              <w:rPr>
                <w:rFonts w:hint="default" w:ascii="Times New Roman" w:hAnsi="Times New Roman" w:cs="Times New Roman"/>
                <w:color w:val="auto"/>
                <w:kern w:val="2"/>
                <w:sz w:val="24"/>
                <w:szCs w:val="24"/>
                <w:vertAlign w:val="baseline"/>
                <w:lang w:val="en-US" w:eastAsia="zh-CN" w:bidi="ar"/>
              </w:rPr>
              <w:t>边坡安全监测</w:t>
            </w:r>
          </w:p>
        </w:tc>
      </w:tr>
    </w:tbl>
    <w:p w14:paraId="4D9BB8E5">
      <w:pPr>
        <w:bidi w:val="0"/>
        <w:rPr>
          <w:rFonts w:hint="default"/>
          <w:color w:val="auto"/>
          <w:lang w:val="en-US" w:eastAsia="zh-CN"/>
        </w:rPr>
      </w:pPr>
      <w:r>
        <w:rPr>
          <w:rFonts w:hint="eastAsia"/>
          <w:color w:val="auto"/>
          <w:lang w:val="en-US" w:eastAsia="zh-CN"/>
        </w:rPr>
        <w:t xml:space="preserve">2. </w:t>
      </w:r>
      <w:r>
        <w:rPr>
          <w:rFonts w:hint="default"/>
          <w:color w:val="auto"/>
          <w:lang w:val="en-US" w:eastAsia="zh-CN"/>
        </w:rPr>
        <w:t>降雨量监测</w:t>
      </w:r>
    </w:p>
    <w:p w14:paraId="36B78480">
      <w:pPr>
        <w:rPr>
          <w:rFonts w:hint="eastAsia" w:ascii="宋体" w:hAnsi="宋体" w:cs="宋体"/>
          <w:color w:val="auto"/>
          <w:kern w:val="2"/>
          <w:sz w:val="28"/>
          <w:szCs w:val="28"/>
          <w:lang w:val="en-US" w:eastAsia="zh-CN" w:bidi="ar"/>
        </w:rPr>
      </w:pPr>
      <w:r>
        <w:rPr>
          <w:rFonts w:hint="eastAsia"/>
          <w:color w:val="auto"/>
          <w:lang w:val="en-US" w:eastAsia="zh-CN"/>
        </w:rPr>
        <w:t>目前在办公室生活区</w:t>
      </w:r>
      <w:r>
        <w:rPr>
          <w:rFonts w:hint="eastAsia" w:ascii="宋体" w:hAnsi="宋体" w:eastAsia="宋体" w:cs="宋体"/>
          <w:color w:val="auto"/>
          <w:kern w:val="2"/>
          <w:sz w:val="28"/>
          <w:szCs w:val="28"/>
          <w:lang w:val="en-US" w:eastAsia="zh-CN" w:bidi="ar"/>
        </w:rPr>
        <w:t>布置了</w:t>
      </w:r>
      <w:r>
        <w:rPr>
          <w:rFonts w:hint="default" w:ascii="Times New Roman" w:hAnsi="Times New Roman" w:eastAsia="宋体" w:cs="Times New Roman"/>
          <w:color w:val="auto"/>
          <w:kern w:val="2"/>
          <w:sz w:val="28"/>
          <w:szCs w:val="28"/>
          <w:lang w:val="en-US" w:eastAsia="zh-CN" w:bidi="ar"/>
        </w:rPr>
        <w:t>1</w:t>
      </w:r>
      <w:r>
        <w:rPr>
          <w:rFonts w:hint="eastAsia" w:ascii="宋体" w:hAnsi="宋体" w:eastAsia="宋体" w:cs="宋体"/>
          <w:color w:val="auto"/>
          <w:kern w:val="2"/>
          <w:sz w:val="28"/>
          <w:szCs w:val="28"/>
          <w:lang w:val="en-US" w:eastAsia="zh-CN" w:bidi="ar"/>
        </w:rPr>
        <w:t>个翻斗式雨量计</w:t>
      </w:r>
      <w:r>
        <w:rPr>
          <w:rFonts w:hint="eastAsia" w:ascii="宋体" w:hAnsi="宋体" w:cs="宋体"/>
          <w:color w:val="auto"/>
          <w:kern w:val="2"/>
          <w:sz w:val="28"/>
          <w:szCs w:val="28"/>
          <w:lang w:val="en-US" w:eastAsia="zh-CN" w:bidi="ar"/>
        </w:rPr>
        <w:t>。</w:t>
      </w:r>
    </w:p>
    <w:p w14:paraId="468FBFF3">
      <w:pPr>
        <w:bidi w:val="0"/>
        <w:rPr>
          <w:rFonts w:hint="default"/>
          <w:color w:val="auto"/>
          <w:lang w:val="en-US" w:eastAsia="zh-CN"/>
        </w:rPr>
      </w:pPr>
      <w:r>
        <w:rPr>
          <w:rFonts w:hint="eastAsia"/>
          <w:color w:val="auto"/>
          <w:lang w:val="en-US" w:eastAsia="zh-CN"/>
        </w:rPr>
        <w:t>3. 视频监控</w:t>
      </w:r>
    </w:p>
    <w:p w14:paraId="173123BC">
      <w:pPr>
        <w:rPr>
          <w:rFonts w:hint="default"/>
          <w:color w:val="auto"/>
          <w:lang w:val="en-US" w:eastAsia="zh-CN"/>
        </w:rPr>
      </w:pPr>
      <w:r>
        <w:rPr>
          <w:rFonts w:hint="eastAsia"/>
          <w:color w:val="auto"/>
          <w:lang w:val="en-US" w:eastAsia="zh-CN"/>
        </w:rPr>
        <w:t>目前在矿区北侧及南侧共布置了2个视频监控点，可对采场东侧主要边坡进行24小时监控。</w:t>
      </w:r>
    </w:p>
    <w:p w14:paraId="0794F191">
      <w:pPr>
        <w:rPr>
          <w:rFonts w:hint="default"/>
          <w:color w:val="auto"/>
          <w:lang w:val="en-US" w:eastAsia="zh-CN"/>
        </w:rPr>
      </w:pPr>
      <w:r>
        <w:rPr>
          <w:rFonts w:hint="default"/>
          <w:color w:val="auto"/>
          <w:lang w:val="en-US" w:eastAsia="zh-CN"/>
        </w:rPr>
        <w:t>现场检查时，江西省坤育矿业有限公司的边坡监测系统运行正常。</w:t>
      </w:r>
    </w:p>
    <w:p w14:paraId="5FB402A9">
      <w:pPr>
        <w:pStyle w:val="4"/>
        <w:bidi w:val="0"/>
        <w:rPr>
          <w:rFonts w:hint="default"/>
          <w:color w:val="auto"/>
          <w:lang w:val="en-US" w:eastAsia="zh-CN"/>
        </w:rPr>
      </w:pPr>
      <w:bookmarkStart w:id="154" w:name="_Toc5152"/>
      <w:bookmarkStart w:id="155" w:name="_Toc5579"/>
      <w:bookmarkStart w:id="156" w:name="_Toc200"/>
      <w:r>
        <w:rPr>
          <w:rFonts w:hint="eastAsia"/>
          <w:color w:val="auto"/>
          <w:lang w:val="en-US" w:eastAsia="zh-CN"/>
        </w:rPr>
        <w:t>2.4.15 主要生产设备</w:t>
      </w:r>
      <w:bookmarkEnd w:id="154"/>
      <w:bookmarkEnd w:id="155"/>
      <w:bookmarkEnd w:id="156"/>
    </w:p>
    <w:p w14:paraId="59D11A35">
      <w:pPr>
        <w:bidi w:val="0"/>
        <w:rPr>
          <w:rFonts w:hint="default"/>
          <w:color w:val="auto"/>
          <w:lang w:val="en-US" w:eastAsia="zh-CN"/>
        </w:rPr>
      </w:pPr>
      <w:r>
        <w:rPr>
          <w:rFonts w:hint="eastAsia"/>
          <w:color w:val="auto"/>
          <w:lang w:val="en-US" w:eastAsia="zh-CN"/>
        </w:rPr>
        <w:t xml:space="preserve">1. </w:t>
      </w:r>
      <w:r>
        <w:rPr>
          <w:rFonts w:hint="default"/>
          <w:color w:val="auto"/>
          <w:lang w:val="en-US" w:eastAsia="zh-CN"/>
        </w:rPr>
        <w:t>主要设备</w:t>
      </w:r>
    </w:p>
    <w:p w14:paraId="4003A770">
      <w:pPr>
        <w:bidi w:val="0"/>
        <w:rPr>
          <w:rFonts w:hint="eastAsia"/>
          <w:color w:val="auto"/>
          <w:lang w:val="en-US" w:eastAsia="zh-CN"/>
        </w:rPr>
      </w:pPr>
      <w:r>
        <w:rPr>
          <w:rFonts w:hint="default"/>
          <w:color w:val="auto"/>
          <w:lang w:val="en-US" w:eastAsia="zh-CN"/>
        </w:rPr>
        <w:t>矿山主要设备见表2</w:t>
      </w:r>
      <w:r>
        <w:rPr>
          <w:rFonts w:hint="eastAsia"/>
          <w:color w:val="auto"/>
          <w:lang w:val="en-US" w:eastAsia="zh-CN"/>
        </w:rPr>
        <w:t>.4-7。</w:t>
      </w:r>
    </w:p>
    <w:p w14:paraId="4FA51CF5">
      <w:pPr>
        <w:bidi w:val="0"/>
        <w:ind w:left="0" w:leftChars="0" w:firstLine="0" w:firstLineChars="0"/>
        <w:jc w:val="center"/>
        <w:rPr>
          <w:rFonts w:hint="eastAsia"/>
          <w:color w:val="auto"/>
          <w:lang w:val="en-US" w:eastAsia="zh-CN"/>
        </w:rPr>
      </w:pPr>
      <w:r>
        <w:rPr>
          <w:rFonts w:hint="default"/>
          <w:color w:val="auto"/>
          <w:lang w:val="en-US" w:eastAsia="zh-CN"/>
        </w:rPr>
        <w:t>表2</w:t>
      </w:r>
      <w:r>
        <w:rPr>
          <w:rFonts w:hint="eastAsia"/>
          <w:color w:val="auto"/>
          <w:lang w:val="en-US" w:eastAsia="zh-CN"/>
        </w:rPr>
        <w:t>.4-7 矿山主要设备表</w:t>
      </w:r>
    </w:p>
    <w:tbl>
      <w:tblPr>
        <w:tblStyle w:val="19"/>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80"/>
        <w:gridCol w:w="2762"/>
        <w:gridCol w:w="2413"/>
        <w:gridCol w:w="1414"/>
        <w:gridCol w:w="1415"/>
      </w:tblGrid>
      <w:tr w14:paraId="04F16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689" w:type="pct"/>
            <w:noWrap w:val="0"/>
            <w:vAlign w:val="center"/>
          </w:tcPr>
          <w:p w14:paraId="2326FF7D">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kern w:val="2"/>
                <w:sz w:val="24"/>
                <w:szCs w:val="24"/>
                <w:vertAlign w:val="baseline"/>
                <w:lang w:val="en-US" w:eastAsia="zh-CN" w:bidi="ar"/>
              </w:rPr>
            </w:pPr>
            <w:r>
              <w:rPr>
                <w:rFonts w:hint="eastAsia" w:ascii="Times New Roman" w:hAnsi="Times New Roman" w:cs="Times New Roman"/>
                <w:b/>
                <w:bCs/>
                <w:color w:val="auto"/>
                <w:kern w:val="2"/>
                <w:sz w:val="24"/>
                <w:szCs w:val="24"/>
                <w:vertAlign w:val="baseline"/>
                <w:lang w:val="en-US" w:eastAsia="zh-CN" w:bidi="ar"/>
              </w:rPr>
              <w:t>序号</w:t>
            </w:r>
          </w:p>
        </w:tc>
        <w:tc>
          <w:tcPr>
            <w:tcW w:w="1487" w:type="pct"/>
            <w:noWrap w:val="0"/>
            <w:vAlign w:val="center"/>
          </w:tcPr>
          <w:p w14:paraId="1B0F3E52">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kern w:val="2"/>
                <w:sz w:val="24"/>
                <w:szCs w:val="24"/>
                <w:vertAlign w:val="baseline"/>
                <w:lang w:val="en-US" w:eastAsia="zh-CN" w:bidi="ar"/>
              </w:rPr>
            </w:pPr>
            <w:r>
              <w:rPr>
                <w:rFonts w:hint="eastAsia" w:ascii="Times New Roman" w:hAnsi="Times New Roman" w:eastAsia="宋体" w:cs="Times New Roman"/>
                <w:b/>
                <w:bCs/>
                <w:color w:val="auto"/>
                <w:kern w:val="2"/>
                <w:sz w:val="24"/>
                <w:szCs w:val="24"/>
                <w:vertAlign w:val="baseline"/>
                <w:lang w:val="en-US" w:eastAsia="zh-CN" w:bidi="ar"/>
              </w:rPr>
              <w:t>名称</w:t>
            </w:r>
          </w:p>
        </w:tc>
        <w:tc>
          <w:tcPr>
            <w:tcW w:w="1299" w:type="pct"/>
            <w:noWrap w:val="0"/>
            <w:vAlign w:val="center"/>
          </w:tcPr>
          <w:p w14:paraId="1504DFF6">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kern w:val="2"/>
                <w:sz w:val="24"/>
                <w:szCs w:val="24"/>
                <w:vertAlign w:val="baseline"/>
                <w:lang w:val="en-US" w:eastAsia="zh-CN" w:bidi="ar"/>
              </w:rPr>
            </w:pPr>
            <w:r>
              <w:rPr>
                <w:rFonts w:hint="eastAsia" w:ascii="Times New Roman" w:hAnsi="Times New Roman" w:cs="Times New Roman"/>
                <w:b/>
                <w:bCs/>
                <w:color w:val="auto"/>
                <w:kern w:val="2"/>
                <w:sz w:val="24"/>
                <w:szCs w:val="24"/>
                <w:vertAlign w:val="baseline"/>
                <w:lang w:val="en-US" w:eastAsia="zh-CN" w:bidi="ar"/>
              </w:rPr>
              <w:t>型号</w:t>
            </w:r>
          </w:p>
        </w:tc>
        <w:tc>
          <w:tcPr>
            <w:tcW w:w="761" w:type="pct"/>
            <w:noWrap w:val="0"/>
            <w:vAlign w:val="center"/>
          </w:tcPr>
          <w:p w14:paraId="264D750B">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kern w:val="2"/>
                <w:sz w:val="24"/>
                <w:szCs w:val="24"/>
                <w:vertAlign w:val="baseline"/>
                <w:lang w:val="en-US" w:eastAsia="zh-CN" w:bidi="ar"/>
              </w:rPr>
            </w:pPr>
            <w:r>
              <w:rPr>
                <w:rFonts w:hint="eastAsia" w:ascii="Times New Roman" w:hAnsi="Times New Roman" w:cs="Times New Roman"/>
                <w:b/>
                <w:bCs/>
                <w:color w:val="auto"/>
                <w:kern w:val="2"/>
                <w:sz w:val="24"/>
                <w:szCs w:val="24"/>
                <w:vertAlign w:val="baseline"/>
                <w:lang w:val="en-US" w:eastAsia="zh-CN" w:bidi="ar"/>
              </w:rPr>
              <w:t>功率（kW）</w:t>
            </w:r>
          </w:p>
        </w:tc>
        <w:tc>
          <w:tcPr>
            <w:tcW w:w="762" w:type="pct"/>
            <w:noWrap w:val="0"/>
            <w:vAlign w:val="center"/>
          </w:tcPr>
          <w:p w14:paraId="3C850E8E">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bCs/>
                <w:color w:val="auto"/>
                <w:kern w:val="2"/>
                <w:sz w:val="24"/>
                <w:szCs w:val="24"/>
                <w:vertAlign w:val="baseline"/>
                <w:lang w:val="en-US" w:eastAsia="zh-CN" w:bidi="ar"/>
              </w:rPr>
            </w:pPr>
            <w:r>
              <w:rPr>
                <w:rFonts w:hint="eastAsia" w:ascii="Times New Roman" w:hAnsi="Times New Roman" w:cs="Times New Roman"/>
                <w:b/>
                <w:bCs/>
                <w:color w:val="auto"/>
                <w:kern w:val="2"/>
                <w:sz w:val="24"/>
                <w:szCs w:val="24"/>
                <w:vertAlign w:val="baseline"/>
                <w:lang w:val="en-US" w:eastAsia="zh-CN" w:bidi="ar"/>
              </w:rPr>
              <w:t>数量（台）</w:t>
            </w:r>
          </w:p>
        </w:tc>
      </w:tr>
      <w:tr w14:paraId="45082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689" w:type="pct"/>
            <w:noWrap w:val="0"/>
            <w:vAlign w:val="center"/>
          </w:tcPr>
          <w:p w14:paraId="13B96A3D">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4"/>
                <w:szCs w:val="24"/>
                <w:vertAlign w:val="baseline"/>
                <w:lang w:val="en-US" w:eastAsia="zh-CN" w:bidi="ar"/>
              </w:rPr>
            </w:pPr>
            <w:r>
              <w:rPr>
                <w:rFonts w:hint="eastAsia" w:ascii="Times New Roman" w:hAnsi="Times New Roman" w:eastAsia="宋体" w:cs="Times New Roman"/>
                <w:color w:val="auto"/>
                <w:kern w:val="2"/>
                <w:sz w:val="24"/>
                <w:szCs w:val="24"/>
                <w:vertAlign w:val="baseline"/>
                <w:lang w:val="en-US" w:eastAsia="zh-CN" w:bidi="ar"/>
              </w:rPr>
              <w:t>1</w:t>
            </w:r>
          </w:p>
        </w:tc>
        <w:tc>
          <w:tcPr>
            <w:tcW w:w="1487" w:type="pct"/>
            <w:noWrap w:val="0"/>
            <w:vAlign w:val="center"/>
          </w:tcPr>
          <w:p w14:paraId="6E1A55DF">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4"/>
                <w:szCs w:val="24"/>
                <w:vertAlign w:val="baseline"/>
                <w:lang w:val="en-US" w:eastAsia="zh-CN" w:bidi="ar"/>
              </w:rPr>
            </w:pPr>
            <w:r>
              <w:rPr>
                <w:rFonts w:hint="default" w:ascii="Times New Roman" w:hAnsi="Times New Roman" w:eastAsia="宋体" w:cs="Times New Roman"/>
                <w:color w:val="auto"/>
                <w:kern w:val="2"/>
                <w:sz w:val="24"/>
                <w:szCs w:val="24"/>
                <w:vertAlign w:val="baseline"/>
                <w:lang w:val="en-US" w:eastAsia="zh-CN" w:bidi="ar"/>
              </w:rPr>
              <w:t>全液压履带式露天钻机</w:t>
            </w:r>
          </w:p>
        </w:tc>
        <w:tc>
          <w:tcPr>
            <w:tcW w:w="1299" w:type="pct"/>
            <w:noWrap w:val="0"/>
            <w:vAlign w:val="center"/>
          </w:tcPr>
          <w:p w14:paraId="1030094A">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4"/>
                <w:szCs w:val="24"/>
                <w:vertAlign w:val="baseline"/>
                <w:lang w:val="en-US" w:eastAsia="zh-CN" w:bidi="ar"/>
              </w:rPr>
            </w:pPr>
            <w:r>
              <w:rPr>
                <w:rFonts w:hint="default" w:ascii="Times New Roman" w:hAnsi="Times New Roman" w:eastAsia="宋体" w:cs="Times New Roman"/>
                <w:color w:val="auto"/>
                <w:kern w:val="2"/>
                <w:sz w:val="24"/>
                <w:szCs w:val="24"/>
                <w:vertAlign w:val="baseline"/>
                <w:lang w:val="en-US" w:eastAsia="zh-CN" w:bidi="ar"/>
              </w:rPr>
              <w:t>FlexiR00735411</w:t>
            </w:r>
          </w:p>
        </w:tc>
        <w:tc>
          <w:tcPr>
            <w:tcW w:w="761" w:type="pct"/>
            <w:noWrap w:val="0"/>
            <w:vAlign w:val="center"/>
          </w:tcPr>
          <w:p w14:paraId="2F9206D8">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4"/>
                <w:szCs w:val="24"/>
                <w:vertAlign w:val="baseline"/>
                <w:lang w:val="en-US" w:eastAsia="zh-CN" w:bidi="ar"/>
              </w:rPr>
            </w:pPr>
            <w:r>
              <w:rPr>
                <w:rFonts w:hint="eastAsia" w:ascii="Times New Roman" w:hAnsi="Times New Roman" w:eastAsia="宋体" w:cs="Times New Roman"/>
                <w:color w:val="auto"/>
                <w:kern w:val="2"/>
                <w:sz w:val="24"/>
                <w:szCs w:val="24"/>
                <w:vertAlign w:val="baseline"/>
                <w:lang w:val="en-US" w:eastAsia="zh-CN" w:bidi="ar"/>
              </w:rPr>
              <w:t>168</w:t>
            </w:r>
          </w:p>
        </w:tc>
        <w:tc>
          <w:tcPr>
            <w:tcW w:w="762" w:type="pct"/>
            <w:noWrap w:val="0"/>
            <w:vAlign w:val="center"/>
          </w:tcPr>
          <w:p w14:paraId="1CB99CDE">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kern w:val="2"/>
                <w:sz w:val="24"/>
                <w:szCs w:val="24"/>
                <w:vertAlign w:val="baseline"/>
                <w:lang w:val="en-US" w:eastAsia="zh-CN" w:bidi="ar"/>
              </w:rPr>
            </w:pPr>
            <w:r>
              <w:rPr>
                <w:rFonts w:hint="eastAsia" w:ascii="Times New Roman" w:hAnsi="Times New Roman" w:cs="Times New Roman"/>
                <w:color w:val="auto"/>
                <w:kern w:val="2"/>
                <w:sz w:val="24"/>
                <w:szCs w:val="24"/>
                <w:vertAlign w:val="baseline"/>
                <w:lang w:val="en-US" w:eastAsia="zh-CN" w:bidi="ar"/>
              </w:rPr>
              <w:t>1</w:t>
            </w:r>
          </w:p>
        </w:tc>
      </w:tr>
      <w:tr w14:paraId="14FAC4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689" w:type="pct"/>
            <w:noWrap w:val="0"/>
            <w:vAlign w:val="center"/>
          </w:tcPr>
          <w:p w14:paraId="1C901FD0">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4"/>
                <w:szCs w:val="24"/>
                <w:vertAlign w:val="baseline"/>
                <w:lang w:val="en-US" w:eastAsia="zh-CN" w:bidi="ar"/>
              </w:rPr>
            </w:pPr>
            <w:r>
              <w:rPr>
                <w:rFonts w:hint="eastAsia" w:ascii="Times New Roman" w:hAnsi="Times New Roman" w:eastAsia="宋体" w:cs="Times New Roman"/>
                <w:color w:val="auto"/>
                <w:kern w:val="2"/>
                <w:sz w:val="24"/>
                <w:szCs w:val="24"/>
                <w:vertAlign w:val="baseline"/>
                <w:lang w:val="en-US" w:eastAsia="zh-CN" w:bidi="ar"/>
              </w:rPr>
              <w:t>2</w:t>
            </w:r>
          </w:p>
        </w:tc>
        <w:tc>
          <w:tcPr>
            <w:tcW w:w="1487" w:type="pct"/>
            <w:noWrap w:val="0"/>
            <w:vAlign w:val="center"/>
          </w:tcPr>
          <w:p w14:paraId="56AD257B">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4"/>
                <w:szCs w:val="24"/>
                <w:vertAlign w:val="baseline"/>
                <w:lang w:val="en-US" w:eastAsia="zh-CN" w:bidi="ar"/>
              </w:rPr>
            </w:pPr>
            <w:r>
              <w:rPr>
                <w:rFonts w:hint="default" w:ascii="Times New Roman" w:hAnsi="Times New Roman" w:eastAsia="宋体" w:cs="Times New Roman"/>
                <w:color w:val="auto"/>
                <w:kern w:val="2"/>
                <w:sz w:val="24"/>
                <w:szCs w:val="24"/>
                <w:vertAlign w:val="baseline"/>
                <w:lang w:val="en-US" w:eastAsia="zh-CN" w:bidi="ar"/>
              </w:rPr>
              <w:t>全液压履带式露天钻机</w:t>
            </w:r>
          </w:p>
        </w:tc>
        <w:tc>
          <w:tcPr>
            <w:tcW w:w="1299" w:type="pct"/>
            <w:noWrap w:val="0"/>
            <w:vAlign w:val="center"/>
          </w:tcPr>
          <w:p w14:paraId="4D26D6FC">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4"/>
                <w:szCs w:val="24"/>
                <w:vertAlign w:val="baseline"/>
                <w:lang w:val="en-US" w:eastAsia="zh-CN" w:bidi="ar"/>
              </w:rPr>
            </w:pPr>
            <w:r>
              <w:rPr>
                <w:rFonts w:hint="eastAsia" w:ascii="Times New Roman" w:hAnsi="Times New Roman" w:eastAsia="宋体" w:cs="Times New Roman"/>
                <w:color w:val="auto"/>
                <w:kern w:val="2"/>
                <w:sz w:val="24"/>
                <w:szCs w:val="24"/>
                <w:vertAlign w:val="baseline"/>
                <w:lang w:val="en-US" w:eastAsia="zh-CN" w:bidi="ar"/>
              </w:rPr>
              <w:t>DF-11</w:t>
            </w:r>
          </w:p>
        </w:tc>
        <w:tc>
          <w:tcPr>
            <w:tcW w:w="761" w:type="pct"/>
            <w:noWrap w:val="0"/>
            <w:vAlign w:val="center"/>
          </w:tcPr>
          <w:p w14:paraId="4C378980">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4"/>
                <w:szCs w:val="24"/>
                <w:vertAlign w:val="baseline"/>
                <w:lang w:val="en-US" w:eastAsia="zh-CN" w:bidi="ar"/>
              </w:rPr>
            </w:pPr>
            <w:r>
              <w:rPr>
                <w:rFonts w:hint="eastAsia" w:ascii="Times New Roman" w:hAnsi="Times New Roman" w:eastAsia="宋体" w:cs="Times New Roman"/>
                <w:color w:val="auto"/>
                <w:kern w:val="2"/>
                <w:sz w:val="24"/>
                <w:szCs w:val="24"/>
                <w:vertAlign w:val="baseline"/>
                <w:lang w:val="en-US" w:eastAsia="zh-CN" w:bidi="ar"/>
              </w:rPr>
              <w:t>168</w:t>
            </w:r>
          </w:p>
        </w:tc>
        <w:tc>
          <w:tcPr>
            <w:tcW w:w="762" w:type="pct"/>
            <w:noWrap w:val="0"/>
            <w:vAlign w:val="center"/>
          </w:tcPr>
          <w:p w14:paraId="008022B8">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kern w:val="2"/>
                <w:sz w:val="24"/>
                <w:szCs w:val="24"/>
                <w:vertAlign w:val="baseline"/>
                <w:lang w:val="en-US" w:eastAsia="zh-CN" w:bidi="ar"/>
              </w:rPr>
            </w:pPr>
            <w:r>
              <w:rPr>
                <w:rFonts w:hint="eastAsia" w:ascii="Times New Roman" w:hAnsi="Times New Roman" w:cs="Times New Roman"/>
                <w:color w:val="auto"/>
                <w:kern w:val="2"/>
                <w:sz w:val="24"/>
                <w:szCs w:val="24"/>
                <w:vertAlign w:val="baseline"/>
                <w:lang w:val="en-US" w:eastAsia="zh-CN" w:bidi="ar"/>
              </w:rPr>
              <w:t>1</w:t>
            </w:r>
          </w:p>
        </w:tc>
      </w:tr>
      <w:tr w14:paraId="50FF6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689" w:type="pct"/>
            <w:noWrap w:val="0"/>
            <w:vAlign w:val="center"/>
          </w:tcPr>
          <w:p w14:paraId="5B239C60">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4"/>
                <w:szCs w:val="24"/>
                <w:vertAlign w:val="baseline"/>
                <w:lang w:val="en-US" w:eastAsia="zh-CN" w:bidi="ar"/>
              </w:rPr>
            </w:pPr>
            <w:r>
              <w:rPr>
                <w:rFonts w:hint="eastAsia" w:ascii="Times New Roman" w:hAnsi="Times New Roman" w:eastAsia="宋体" w:cs="Times New Roman"/>
                <w:color w:val="auto"/>
                <w:kern w:val="2"/>
                <w:sz w:val="24"/>
                <w:szCs w:val="24"/>
                <w:vertAlign w:val="baseline"/>
                <w:lang w:val="en-US" w:eastAsia="zh-CN" w:bidi="ar"/>
              </w:rPr>
              <w:t>3</w:t>
            </w:r>
          </w:p>
        </w:tc>
        <w:tc>
          <w:tcPr>
            <w:tcW w:w="1487" w:type="pct"/>
            <w:noWrap w:val="0"/>
            <w:vAlign w:val="center"/>
          </w:tcPr>
          <w:p w14:paraId="629565BF">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4"/>
                <w:szCs w:val="24"/>
                <w:vertAlign w:val="baseline"/>
                <w:lang w:val="en-US" w:eastAsia="zh-CN" w:bidi="ar"/>
              </w:rPr>
            </w:pPr>
            <w:r>
              <w:rPr>
                <w:rFonts w:hint="default" w:ascii="Times New Roman" w:hAnsi="Times New Roman" w:eastAsia="宋体" w:cs="Times New Roman"/>
                <w:color w:val="auto"/>
                <w:kern w:val="2"/>
                <w:sz w:val="24"/>
                <w:szCs w:val="24"/>
                <w:vertAlign w:val="baseline"/>
                <w:lang w:val="en-US" w:eastAsia="zh-CN" w:bidi="ar"/>
              </w:rPr>
              <w:t>轮胎式装载机</w:t>
            </w:r>
          </w:p>
        </w:tc>
        <w:tc>
          <w:tcPr>
            <w:tcW w:w="1299" w:type="pct"/>
            <w:noWrap w:val="0"/>
            <w:vAlign w:val="center"/>
          </w:tcPr>
          <w:p w14:paraId="338A8320">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4"/>
                <w:szCs w:val="24"/>
                <w:vertAlign w:val="baseline"/>
                <w:lang w:val="en-US" w:eastAsia="zh-CN" w:bidi="ar"/>
              </w:rPr>
            </w:pPr>
            <w:r>
              <w:rPr>
                <w:rFonts w:hint="default" w:ascii="Times New Roman" w:hAnsi="Times New Roman" w:eastAsia="宋体" w:cs="Times New Roman"/>
                <w:color w:val="auto"/>
                <w:kern w:val="2"/>
                <w:sz w:val="24"/>
                <w:szCs w:val="24"/>
                <w:vertAlign w:val="baseline"/>
                <w:lang w:val="en-US" w:eastAsia="zh-CN" w:bidi="ar"/>
              </w:rPr>
              <w:t>950GC</w:t>
            </w:r>
          </w:p>
        </w:tc>
        <w:tc>
          <w:tcPr>
            <w:tcW w:w="761" w:type="pct"/>
            <w:noWrap w:val="0"/>
            <w:vAlign w:val="center"/>
          </w:tcPr>
          <w:p w14:paraId="160A2C3C">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4"/>
                <w:szCs w:val="24"/>
                <w:vertAlign w:val="baseline"/>
                <w:lang w:val="en-US" w:eastAsia="zh-CN" w:bidi="ar"/>
              </w:rPr>
            </w:pPr>
            <w:r>
              <w:rPr>
                <w:rFonts w:hint="eastAsia" w:ascii="Times New Roman" w:hAnsi="Times New Roman" w:eastAsia="宋体" w:cs="Times New Roman"/>
                <w:color w:val="auto"/>
                <w:kern w:val="2"/>
                <w:sz w:val="24"/>
                <w:szCs w:val="24"/>
                <w:vertAlign w:val="baseline"/>
                <w:lang w:val="en-US" w:eastAsia="zh-CN" w:bidi="ar"/>
              </w:rPr>
              <w:t>168</w:t>
            </w:r>
          </w:p>
        </w:tc>
        <w:tc>
          <w:tcPr>
            <w:tcW w:w="762" w:type="pct"/>
            <w:noWrap w:val="0"/>
            <w:vAlign w:val="center"/>
          </w:tcPr>
          <w:p w14:paraId="4CD1C580">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kern w:val="2"/>
                <w:sz w:val="24"/>
                <w:szCs w:val="24"/>
                <w:vertAlign w:val="baseline"/>
                <w:lang w:val="en-US" w:eastAsia="zh-CN" w:bidi="ar"/>
              </w:rPr>
            </w:pPr>
            <w:r>
              <w:rPr>
                <w:rFonts w:hint="eastAsia" w:ascii="Times New Roman" w:hAnsi="Times New Roman" w:cs="Times New Roman"/>
                <w:color w:val="auto"/>
                <w:kern w:val="2"/>
                <w:sz w:val="24"/>
                <w:szCs w:val="24"/>
                <w:vertAlign w:val="baseline"/>
                <w:lang w:val="en-US" w:eastAsia="zh-CN" w:bidi="ar"/>
              </w:rPr>
              <w:t>3</w:t>
            </w:r>
          </w:p>
        </w:tc>
      </w:tr>
      <w:tr w14:paraId="3C82E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689" w:type="pct"/>
            <w:noWrap w:val="0"/>
            <w:vAlign w:val="center"/>
          </w:tcPr>
          <w:p w14:paraId="66EAF805">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4"/>
                <w:szCs w:val="24"/>
                <w:vertAlign w:val="baseline"/>
                <w:lang w:val="en-US" w:eastAsia="zh-CN" w:bidi="ar"/>
              </w:rPr>
            </w:pPr>
            <w:r>
              <w:rPr>
                <w:rFonts w:hint="eastAsia" w:ascii="Times New Roman" w:hAnsi="Times New Roman" w:eastAsia="宋体" w:cs="Times New Roman"/>
                <w:color w:val="auto"/>
                <w:kern w:val="2"/>
                <w:sz w:val="24"/>
                <w:szCs w:val="24"/>
                <w:vertAlign w:val="baseline"/>
                <w:lang w:val="en-US" w:eastAsia="zh-CN" w:bidi="ar"/>
              </w:rPr>
              <w:t>4</w:t>
            </w:r>
          </w:p>
        </w:tc>
        <w:tc>
          <w:tcPr>
            <w:tcW w:w="1487" w:type="pct"/>
            <w:noWrap w:val="0"/>
            <w:vAlign w:val="center"/>
          </w:tcPr>
          <w:p w14:paraId="237551C1">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4"/>
                <w:szCs w:val="24"/>
                <w:vertAlign w:val="baseline"/>
                <w:lang w:val="en-US" w:eastAsia="zh-CN" w:bidi="ar"/>
              </w:rPr>
            </w:pPr>
            <w:r>
              <w:rPr>
                <w:rFonts w:hint="default" w:ascii="Times New Roman" w:hAnsi="Times New Roman" w:eastAsia="宋体" w:cs="Times New Roman"/>
                <w:color w:val="auto"/>
                <w:kern w:val="2"/>
                <w:sz w:val="24"/>
                <w:szCs w:val="24"/>
                <w:vertAlign w:val="baseline"/>
                <w:lang w:val="en-US" w:eastAsia="zh-CN" w:bidi="ar"/>
              </w:rPr>
              <w:t>液压挖掘机</w:t>
            </w:r>
          </w:p>
        </w:tc>
        <w:tc>
          <w:tcPr>
            <w:tcW w:w="1299" w:type="pct"/>
            <w:noWrap w:val="0"/>
            <w:vAlign w:val="center"/>
          </w:tcPr>
          <w:p w14:paraId="5B31FF45">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4"/>
                <w:szCs w:val="24"/>
                <w:vertAlign w:val="baseline"/>
                <w:lang w:val="en-US" w:eastAsia="zh-CN" w:bidi="ar"/>
              </w:rPr>
            </w:pPr>
            <w:r>
              <w:rPr>
                <w:rFonts w:hint="default" w:ascii="Times New Roman" w:hAnsi="Times New Roman" w:eastAsia="宋体" w:cs="Times New Roman"/>
                <w:color w:val="auto"/>
                <w:kern w:val="2"/>
                <w:sz w:val="24"/>
                <w:szCs w:val="24"/>
                <w:vertAlign w:val="baseline"/>
                <w:lang w:val="en-US" w:eastAsia="zh-CN" w:bidi="ar"/>
              </w:rPr>
              <w:t>PC460LC-8</w:t>
            </w:r>
          </w:p>
        </w:tc>
        <w:tc>
          <w:tcPr>
            <w:tcW w:w="761" w:type="pct"/>
            <w:noWrap w:val="0"/>
            <w:vAlign w:val="center"/>
          </w:tcPr>
          <w:p w14:paraId="09942001">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4"/>
                <w:szCs w:val="24"/>
                <w:vertAlign w:val="baseline"/>
                <w:lang w:val="en-US" w:eastAsia="zh-CN" w:bidi="ar"/>
              </w:rPr>
            </w:pPr>
            <w:r>
              <w:rPr>
                <w:rFonts w:hint="eastAsia" w:ascii="Times New Roman" w:hAnsi="Times New Roman" w:eastAsia="宋体" w:cs="Times New Roman"/>
                <w:color w:val="auto"/>
                <w:kern w:val="2"/>
                <w:sz w:val="24"/>
                <w:szCs w:val="24"/>
                <w:vertAlign w:val="baseline"/>
                <w:lang w:val="en-US" w:eastAsia="zh-CN" w:bidi="ar"/>
              </w:rPr>
              <w:t>275</w:t>
            </w:r>
          </w:p>
        </w:tc>
        <w:tc>
          <w:tcPr>
            <w:tcW w:w="762" w:type="pct"/>
            <w:noWrap w:val="0"/>
            <w:vAlign w:val="center"/>
          </w:tcPr>
          <w:p w14:paraId="173A4418">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kern w:val="2"/>
                <w:sz w:val="24"/>
                <w:szCs w:val="24"/>
                <w:vertAlign w:val="baseline"/>
                <w:lang w:val="en-US" w:eastAsia="zh-CN" w:bidi="ar"/>
              </w:rPr>
            </w:pPr>
            <w:r>
              <w:rPr>
                <w:rFonts w:hint="eastAsia" w:ascii="Times New Roman" w:hAnsi="Times New Roman" w:cs="Times New Roman"/>
                <w:color w:val="auto"/>
                <w:kern w:val="2"/>
                <w:sz w:val="24"/>
                <w:szCs w:val="24"/>
                <w:vertAlign w:val="baseline"/>
                <w:lang w:val="en-US" w:eastAsia="zh-CN" w:bidi="ar"/>
              </w:rPr>
              <w:t>4</w:t>
            </w:r>
          </w:p>
        </w:tc>
      </w:tr>
      <w:tr w14:paraId="50CF2A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689" w:type="pct"/>
            <w:noWrap w:val="0"/>
            <w:vAlign w:val="center"/>
          </w:tcPr>
          <w:p w14:paraId="7B851332">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4"/>
                <w:szCs w:val="24"/>
                <w:vertAlign w:val="baseline"/>
                <w:lang w:val="en-US" w:eastAsia="zh-CN" w:bidi="ar"/>
              </w:rPr>
            </w:pPr>
            <w:r>
              <w:rPr>
                <w:rFonts w:hint="eastAsia" w:ascii="Times New Roman" w:hAnsi="Times New Roman" w:eastAsia="宋体" w:cs="Times New Roman"/>
                <w:color w:val="auto"/>
                <w:kern w:val="2"/>
                <w:sz w:val="24"/>
                <w:szCs w:val="24"/>
                <w:vertAlign w:val="baseline"/>
                <w:lang w:val="en-US" w:eastAsia="zh-CN" w:bidi="ar"/>
              </w:rPr>
              <w:t>5</w:t>
            </w:r>
          </w:p>
        </w:tc>
        <w:tc>
          <w:tcPr>
            <w:tcW w:w="1487" w:type="pct"/>
            <w:noWrap w:val="0"/>
            <w:vAlign w:val="center"/>
          </w:tcPr>
          <w:p w14:paraId="20AC0E64">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4"/>
                <w:szCs w:val="24"/>
                <w:vertAlign w:val="baseline"/>
                <w:lang w:val="en-US" w:eastAsia="zh-CN" w:bidi="ar"/>
              </w:rPr>
            </w:pPr>
            <w:r>
              <w:rPr>
                <w:rFonts w:hint="default" w:ascii="Times New Roman" w:hAnsi="Times New Roman" w:eastAsia="宋体" w:cs="Times New Roman"/>
                <w:color w:val="auto"/>
                <w:kern w:val="2"/>
                <w:sz w:val="24"/>
                <w:szCs w:val="24"/>
                <w:vertAlign w:val="baseline"/>
                <w:lang w:val="en-US" w:eastAsia="zh-CN" w:bidi="ar"/>
              </w:rPr>
              <w:t>履带式液压挖掘机</w:t>
            </w:r>
          </w:p>
        </w:tc>
        <w:tc>
          <w:tcPr>
            <w:tcW w:w="1299" w:type="pct"/>
            <w:noWrap w:val="0"/>
            <w:vAlign w:val="center"/>
          </w:tcPr>
          <w:p w14:paraId="1723258E">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4"/>
                <w:szCs w:val="24"/>
                <w:vertAlign w:val="baseline"/>
                <w:lang w:val="en-US" w:eastAsia="zh-CN" w:bidi="ar"/>
              </w:rPr>
            </w:pPr>
            <w:r>
              <w:rPr>
                <w:rFonts w:hint="default" w:ascii="Times New Roman" w:hAnsi="Times New Roman" w:eastAsia="宋体" w:cs="Times New Roman"/>
                <w:color w:val="auto"/>
                <w:kern w:val="2"/>
                <w:sz w:val="24"/>
                <w:szCs w:val="24"/>
                <w:vertAlign w:val="baseline"/>
                <w:lang w:val="en-US" w:eastAsia="zh-CN" w:bidi="ar"/>
              </w:rPr>
              <w:t>340D2L</w:t>
            </w:r>
          </w:p>
        </w:tc>
        <w:tc>
          <w:tcPr>
            <w:tcW w:w="761" w:type="pct"/>
            <w:noWrap w:val="0"/>
            <w:vAlign w:val="center"/>
          </w:tcPr>
          <w:p w14:paraId="1E50A4A8">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4"/>
                <w:szCs w:val="24"/>
                <w:vertAlign w:val="baseline"/>
                <w:lang w:val="en-US" w:eastAsia="zh-CN" w:bidi="ar"/>
              </w:rPr>
            </w:pPr>
            <w:r>
              <w:rPr>
                <w:rFonts w:hint="eastAsia" w:ascii="Times New Roman" w:hAnsi="Times New Roman" w:eastAsia="宋体" w:cs="Times New Roman"/>
                <w:color w:val="auto"/>
                <w:kern w:val="2"/>
                <w:sz w:val="24"/>
                <w:szCs w:val="24"/>
                <w:vertAlign w:val="baseline"/>
                <w:lang w:val="en-US" w:eastAsia="zh-CN" w:bidi="ar"/>
              </w:rPr>
              <w:t>209</w:t>
            </w:r>
          </w:p>
        </w:tc>
        <w:tc>
          <w:tcPr>
            <w:tcW w:w="762" w:type="pct"/>
            <w:noWrap w:val="0"/>
            <w:vAlign w:val="center"/>
          </w:tcPr>
          <w:p w14:paraId="0F66D759">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kern w:val="2"/>
                <w:sz w:val="24"/>
                <w:szCs w:val="24"/>
                <w:vertAlign w:val="baseline"/>
                <w:lang w:val="en-US" w:eastAsia="zh-CN" w:bidi="ar"/>
              </w:rPr>
            </w:pPr>
            <w:r>
              <w:rPr>
                <w:rFonts w:hint="eastAsia" w:ascii="Times New Roman" w:hAnsi="Times New Roman" w:cs="Times New Roman"/>
                <w:color w:val="auto"/>
                <w:kern w:val="2"/>
                <w:sz w:val="24"/>
                <w:szCs w:val="24"/>
                <w:vertAlign w:val="baseline"/>
                <w:lang w:val="en-US" w:eastAsia="zh-CN" w:bidi="ar"/>
              </w:rPr>
              <w:t>2</w:t>
            </w:r>
          </w:p>
        </w:tc>
      </w:tr>
      <w:tr w14:paraId="453DEF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689" w:type="pct"/>
            <w:noWrap w:val="0"/>
            <w:vAlign w:val="center"/>
          </w:tcPr>
          <w:p w14:paraId="590E78B8">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4"/>
                <w:szCs w:val="24"/>
                <w:vertAlign w:val="baseline"/>
                <w:lang w:val="en-US" w:eastAsia="zh-CN" w:bidi="ar"/>
              </w:rPr>
            </w:pPr>
            <w:r>
              <w:rPr>
                <w:rFonts w:hint="eastAsia" w:ascii="Times New Roman" w:hAnsi="Times New Roman" w:eastAsia="宋体" w:cs="Times New Roman"/>
                <w:color w:val="auto"/>
                <w:kern w:val="2"/>
                <w:sz w:val="24"/>
                <w:szCs w:val="24"/>
                <w:vertAlign w:val="baseline"/>
                <w:lang w:val="en-US" w:eastAsia="zh-CN" w:bidi="ar"/>
              </w:rPr>
              <w:t>6</w:t>
            </w:r>
          </w:p>
        </w:tc>
        <w:tc>
          <w:tcPr>
            <w:tcW w:w="1487" w:type="pct"/>
            <w:noWrap w:val="0"/>
            <w:vAlign w:val="center"/>
          </w:tcPr>
          <w:p w14:paraId="731EBD4B">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4"/>
                <w:szCs w:val="24"/>
                <w:vertAlign w:val="baseline"/>
                <w:lang w:val="en-US" w:eastAsia="zh-CN" w:bidi="ar"/>
              </w:rPr>
            </w:pPr>
            <w:r>
              <w:rPr>
                <w:rFonts w:hint="default" w:ascii="Times New Roman" w:hAnsi="Times New Roman" w:eastAsia="宋体" w:cs="Times New Roman"/>
                <w:color w:val="auto"/>
                <w:kern w:val="2"/>
                <w:sz w:val="24"/>
                <w:szCs w:val="24"/>
                <w:vertAlign w:val="baseline"/>
                <w:lang w:val="en-US" w:eastAsia="zh-CN" w:bidi="ar"/>
              </w:rPr>
              <w:t>非公路矿用自卸车</w:t>
            </w:r>
          </w:p>
        </w:tc>
        <w:tc>
          <w:tcPr>
            <w:tcW w:w="1299" w:type="pct"/>
            <w:noWrap w:val="0"/>
            <w:vAlign w:val="center"/>
          </w:tcPr>
          <w:p w14:paraId="4A465ABA">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4"/>
                <w:szCs w:val="24"/>
                <w:vertAlign w:val="baseline"/>
                <w:lang w:val="en-US" w:eastAsia="zh-CN" w:bidi="ar"/>
              </w:rPr>
            </w:pPr>
            <w:r>
              <w:rPr>
                <w:rFonts w:hint="default" w:ascii="Times New Roman" w:hAnsi="Times New Roman" w:eastAsia="宋体" w:cs="Times New Roman"/>
                <w:color w:val="auto"/>
                <w:kern w:val="2"/>
                <w:sz w:val="24"/>
                <w:szCs w:val="24"/>
                <w:vertAlign w:val="baseline"/>
                <w:lang w:val="en-US" w:eastAsia="zh-CN" w:bidi="ar"/>
              </w:rPr>
              <w:t>STL3601PK3940W0</w:t>
            </w:r>
          </w:p>
        </w:tc>
        <w:tc>
          <w:tcPr>
            <w:tcW w:w="761" w:type="pct"/>
            <w:noWrap w:val="0"/>
            <w:vAlign w:val="center"/>
          </w:tcPr>
          <w:p w14:paraId="2B047AD3">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4"/>
                <w:szCs w:val="24"/>
                <w:vertAlign w:val="baseline"/>
                <w:lang w:val="en-US" w:eastAsia="zh-CN" w:bidi="ar"/>
              </w:rPr>
            </w:pPr>
            <w:r>
              <w:rPr>
                <w:rFonts w:hint="eastAsia" w:ascii="Times New Roman" w:hAnsi="Times New Roman" w:eastAsia="宋体" w:cs="Times New Roman"/>
                <w:color w:val="auto"/>
                <w:kern w:val="2"/>
                <w:sz w:val="24"/>
                <w:szCs w:val="24"/>
                <w:vertAlign w:val="baseline"/>
                <w:lang w:val="en-US" w:eastAsia="zh-CN" w:bidi="ar"/>
              </w:rPr>
              <w:t>316</w:t>
            </w:r>
          </w:p>
        </w:tc>
        <w:tc>
          <w:tcPr>
            <w:tcW w:w="762" w:type="pct"/>
            <w:noWrap w:val="0"/>
            <w:vAlign w:val="center"/>
          </w:tcPr>
          <w:p w14:paraId="49C2999F">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kern w:val="2"/>
                <w:sz w:val="24"/>
                <w:szCs w:val="24"/>
                <w:vertAlign w:val="baseline"/>
                <w:lang w:val="en-US" w:eastAsia="zh-CN" w:bidi="ar"/>
              </w:rPr>
            </w:pPr>
            <w:r>
              <w:rPr>
                <w:rFonts w:hint="eastAsia" w:ascii="Times New Roman" w:hAnsi="Times New Roman" w:cs="Times New Roman"/>
                <w:color w:val="auto"/>
                <w:kern w:val="2"/>
                <w:sz w:val="24"/>
                <w:szCs w:val="24"/>
                <w:vertAlign w:val="baseline"/>
                <w:lang w:val="en-US" w:eastAsia="zh-CN" w:bidi="ar"/>
              </w:rPr>
              <w:t>8</w:t>
            </w:r>
          </w:p>
        </w:tc>
      </w:tr>
      <w:tr w14:paraId="17FD0D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689" w:type="pct"/>
            <w:noWrap w:val="0"/>
            <w:vAlign w:val="center"/>
          </w:tcPr>
          <w:p w14:paraId="25EC248D">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4"/>
                <w:szCs w:val="24"/>
                <w:vertAlign w:val="baseline"/>
                <w:lang w:val="en-US" w:eastAsia="zh-CN" w:bidi="ar"/>
              </w:rPr>
            </w:pPr>
            <w:r>
              <w:rPr>
                <w:rFonts w:hint="eastAsia" w:ascii="Times New Roman" w:hAnsi="Times New Roman" w:eastAsia="宋体" w:cs="Times New Roman"/>
                <w:color w:val="auto"/>
                <w:kern w:val="2"/>
                <w:sz w:val="24"/>
                <w:szCs w:val="24"/>
                <w:vertAlign w:val="baseline"/>
                <w:lang w:val="en-US" w:eastAsia="zh-CN" w:bidi="ar"/>
              </w:rPr>
              <w:t>7</w:t>
            </w:r>
          </w:p>
        </w:tc>
        <w:tc>
          <w:tcPr>
            <w:tcW w:w="1487" w:type="pct"/>
            <w:noWrap w:val="0"/>
            <w:vAlign w:val="center"/>
          </w:tcPr>
          <w:p w14:paraId="00DC1433">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4"/>
                <w:szCs w:val="24"/>
                <w:vertAlign w:val="baseline"/>
                <w:lang w:val="en-US" w:eastAsia="zh-CN" w:bidi="ar"/>
              </w:rPr>
            </w:pPr>
            <w:r>
              <w:rPr>
                <w:rFonts w:hint="eastAsia" w:ascii="Times New Roman" w:hAnsi="Times New Roman" w:eastAsia="宋体" w:cs="Times New Roman"/>
                <w:color w:val="auto"/>
                <w:kern w:val="2"/>
                <w:sz w:val="24"/>
                <w:szCs w:val="24"/>
                <w:vertAlign w:val="baseline"/>
                <w:lang w:val="en-US" w:eastAsia="zh-CN" w:bidi="ar"/>
              </w:rPr>
              <w:t>洒</w:t>
            </w:r>
            <w:r>
              <w:rPr>
                <w:rFonts w:hint="default" w:ascii="Times New Roman" w:hAnsi="Times New Roman" w:eastAsia="宋体" w:cs="Times New Roman"/>
                <w:color w:val="auto"/>
                <w:kern w:val="2"/>
                <w:sz w:val="24"/>
                <w:szCs w:val="24"/>
                <w:vertAlign w:val="baseline"/>
                <w:lang w:val="en-US" w:eastAsia="zh-CN" w:bidi="ar"/>
              </w:rPr>
              <w:t>水车</w:t>
            </w:r>
          </w:p>
        </w:tc>
        <w:tc>
          <w:tcPr>
            <w:tcW w:w="1299" w:type="pct"/>
            <w:noWrap w:val="0"/>
            <w:vAlign w:val="center"/>
          </w:tcPr>
          <w:p w14:paraId="565EC7FB">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4"/>
                <w:szCs w:val="24"/>
                <w:vertAlign w:val="baseline"/>
                <w:lang w:val="en-US" w:eastAsia="zh-CN" w:bidi="ar"/>
              </w:rPr>
            </w:pPr>
            <w:r>
              <w:rPr>
                <w:rFonts w:hint="default" w:ascii="Times New Roman" w:hAnsi="Times New Roman" w:eastAsia="宋体" w:cs="Times New Roman"/>
                <w:color w:val="auto"/>
                <w:kern w:val="2"/>
                <w:sz w:val="24"/>
                <w:szCs w:val="24"/>
                <w:vertAlign w:val="baseline"/>
                <w:lang w:val="en-US" w:eastAsia="zh-CN" w:bidi="ar"/>
              </w:rPr>
              <w:t>CLW5162GPSES</w:t>
            </w:r>
          </w:p>
        </w:tc>
        <w:tc>
          <w:tcPr>
            <w:tcW w:w="761" w:type="pct"/>
            <w:noWrap w:val="0"/>
            <w:vAlign w:val="center"/>
          </w:tcPr>
          <w:p w14:paraId="067C1C7A">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4"/>
                <w:szCs w:val="24"/>
                <w:vertAlign w:val="baseline"/>
                <w:lang w:val="en-US" w:eastAsia="zh-CN" w:bidi="ar"/>
              </w:rPr>
            </w:pPr>
            <w:r>
              <w:rPr>
                <w:rFonts w:hint="eastAsia" w:ascii="Times New Roman" w:hAnsi="Times New Roman" w:eastAsia="宋体" w:cs="Times New Roman"/>
                <w:color w:val="auto"/>
                <w:kern w:val="2"/>
                <w:sz w:val="24"/>
                <w:szCs w:val="24"/>
                <w:vertAlign w:val="baseline"/>
                <w:lang w:val="en-US" w:eastAsia="zh-CN" w:bidi="ar"/>
              </w:rPr>
              <w:t>128</w:t>
            </w:r>
          </w:p>
        </w:tc>
        <w:tc>
          <w:tcPr>
            <w:tcW w:w="762" w:type="pct"/>
            <w:noWrap w:val="0"/>
            <w:vAlign w:val="center"/>
          </w:tcPr>
          <w:p w14:paraId="2EACF4BF">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kern w:val="2"/>
                <w:sz w:val="24"/>
                <w:szCs w:val="24"/>
                <w:vertAlign w:val="baseline"/>
                <w:lang w:val="en-US" w:eastAsia="zh-CN" w:bidi="ar"/>
              </w:rPr>
            </w:pPr>
            <w:r>
              <w:rPr>
                <w:rFonts w:hint="eastAsia" w:ascii="Times New Roman" w:hAnsi="Times New Roman" w:cs="Times New Roman"/>
                <w:color w:val="auto"/>
                <w:kern w:val="2"/>
                <w:sz w:val="24"/>
                <w:szCs w:val="24"/>
                <w:vertAlign w:val="baseline"/>
                <w:lang w:val="en-US" w:eastAsia="zh-CN" w:bidi="ar"/>
              </w:rPr>
              <w:t>2</w:t>
            </w:r>
          </w:p>
        </w:tc>
      </w:tr>
      <w:tr w14:paraId="5BC24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689" w:type="pct"/>
            <w:noWrap w:val="0"/>
            <w:vAlign w:val="center"/>
          </w:tcPr>
          <w:p w14:paraId="584B96EC">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4"/>
                <w:szCs w:val="24"/>
                <w:vertAlign w:val="baseline"/>
                <w:lang w:val="en-US" w:eastAsia="zh-CN" w:bidi="ar"/>
              </w:rPr>
            </w:pPr>
            <w:r>
              <w:rPr>
                <w:rFonts w:hint="eastAsia" w:ascii="Times New Roman" w:hAnsi="Times New Roman" w:eastAsia="宋体" w:cs="Times New Roman"/>
                <w:color w:val="auto"/>
                <w:kern w:val="2"/>
                <w:sz w:val="24"/>
                <w:szCs w:val="24"/>
                <w:vertAlign w:val="baseline"/>
                <w:lang w:val="en-US" w:eastAsia="zh-CN" w:bidi="ar"/>
              </w:rPr>
              <w:t>8</w:t>
            </w:r>
          </w:p>
        </w:tc>
        <w:tc>
          <w:tcPr>
            <w:tcW w:w="1487" w:type="pct"/>
            <w:noWrap w:val="0"/>
            <w:vAlign w:val="center"/>
          </w:tcPr>
          <w:p w14:paraId="36E59803">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4"/>
                <w:szCs w:val="24"/>
                <w:vertAlign w:val="baseline"/>
                <w:lang w:val="en-US" w:eastAsia="zh-CN" w:bidi="ar"/>
              </w:rPr>
            </w:pPr>
            <w:r>
              <w:rPr>
                <w:rFonts w:hint="default" w:ascii="Times New Roman" w:hAnsi="Times New Roman" w:eastAsia="宋体" w:cs="Times New Roman"/>
                <w:color w:val="auto"/>
                <w:kern w:val="2"/>
                <w:sz w:val="24"/>
                <w:szCs w:val="24"/>
                <w:vertAlign w:val="baseline"/>
                <w:lang w:val="en-US" w:eastAsia="zh-CN" w:bidi="ar"/>
              </w:rPr>
              <w:t>油浸式变压器</w:t>
            </w:r>
          </w:p>
        </w:tc>
        <w:tc>
          <w:tcPr>
            <w:tcW w:w="1299" w:type="pct"/>
            <w:noWrap w:val="0"/>
            <w:vAlign w:val="center"/>
          </w:tcPr>
          <w:p w14:paraId="011A89C7">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4"/>
                <w:szCs w:val="24"/>
                <w:vertAlign w:val="baseline"/>
                <w:lang w:val="en-US" w:eastAsia="zh-CN" w:bidi="ar"/>
              </w:rPr>
            </w:pPr>
            <w:r>
              <w:rPr>
                <w:rFonts w:hint="default" w:ascii="Times New Roman" w:hAnsi="Times New Roman" w:eastAsia="宋体" w:cs="Times New Roman"/>
                <w:color w:val="auto"/>
                <w:kern w:val="2"/>
                <w:sz w:val="24"/>
                <w:szCs w:val="24"/>
                <w:vertAlign w:val="baseline"/>
                <w:lang w:val="en-US" w:eastAsia="zh-CN" w:bidi="ar"/>
              </w:rPr>
              <w:t>S11-M1600/10</w:t>
            </w:r>
          </w:p>
        </w:tc>
        <w:tc>
          <w:tcPr>
            <w:tcW w:w="761" w:type="pct"/>
            <w:noWrap w:val="0"/>
            <w:vAlign w:val="center"/>
          </w:tcPr>
          <w:p w14:paraId="46E6756E">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4"/>
                <w:szCs w:val="24"/>
                <w:vertAlign w:val="baseline"/>
                <w:lang w:val="en-US" w:eastAsia="zh-CN" w:bidi="ar"/>
              </w:rPr>
            </w:pPr>
            <w:r>
              <w:rPr>
                <w:rFonts w:hint="eastAsia" w:ascii="Times New Roman" w:hAnsi="Times New Roman" w:eastAsia="宋体" w:cs="Times New Roman"/>
                <w:color w:val="auto"/>
                <w:kern w:val="2"/>
                <w:sz w:val="24"/>
                <w:szCs w:val="24"/>
                <w:vertAlign w:val="baseline"/>
                <w:lang w:val="en-US" w:eastAsia="zh-CN" w:bidi="ar"/>
              </w:rPr>
              <w:t>1600</w:t>
            </w:r>
          </w:p>
        </w:tc>
        <w:tc>
          <w:tcPr>
            <w:tcW w:w="762" w:type="pct"/>
            <w:noWrap w:val="0"/>
            <w:vAlign w:val="center"/>
          </w:tcPr>
          <w:p w14:paraId="266C0878">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kern w:val="2"/>
                <w:sz w:val="24"/>
                <w:szCs w:val="24"/>
                <w:vertAlign w:val="baseline"/>
                <w:lang w:val="en-US" w:eastAsia="zh-CN" w:bidi="ar"/>
              </w:rPr>
            </w:pPr>
            <w:r>
              <w:rPr>
                <w:rFonts w:hint="eastAsia" w:ascii="Times New Roman" w:hAnsi="Times New Roman" w:cs="Times New Roman"/>
                <w:color w:val="auto"/>
                <w:kern w:val="2"/>
                <w:sz w:val="24"/>
                <w:szCs w:val="24"/>
                <w:vertAlign w:val="baseline"/>
                <w:lang w:val="en-US" w:eastAsia="zh-CN" w:bidi="ar"/>
              </w:rPr>
              <w:t>1</w:t>
            </w:r>
          </w:p>
        </w:tc>
      </w:tr>
      <w:tr w14:paraId="2FC11D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jc w:val="center"/>
        </w:trPr>
        <w:tc>
          <w:tcPr>
            <w:tcW w:w="689" w:type="pct"/>
            <w:noWrap w:val="0"/>
            <w:vAlign w:val="center"/>
          </w:tcPr>
          <w:p w14:paraId="7FDEC935">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4"/>
                <w:szCs w:val="24"/>
                <w:vertAlign w:val="baseline"/>
                <w:lang w:val="en-US" w:eastAsia="zh-CN" w:bidi="ar"/>
              </w:rPr>
            </w:pPr>
            <w:r>
              <w:rPr>
                <w:rFonts w:hint="eastAsia" w:ascii="Times New Roman" w:hAnsi="Times New Roman" w:eastAsia="宋体" w:cs="Times New Roman"/>
                <w:color w:val="auto"/>
                <w:kern w:val="2"/>
                <w:sz w:val="24"/>
                <w:szCs w:val="24"/>
                <w:vertAlign w:val="baseline"/>
                <w:lang w:val="en-US" w:eastAsia="zh-CN" w:bidi="ar"/>
              </w:rPr>
              <w:t>9</w:t>
            </w:r>
          </w:p>
        </w:tc>
        <w:tc>
          <w:tcPr>
            <w:tcW w:w="1487" w:type="pct"/>
            <w:noWrap w:val="0"/>
            <w:vAlign w:val="center"/>
          </w:tcPr>
          <w:p w14:paraId="7C747312">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4"/>
                <w:szCs w:val="24"/>
                <w:vertAlign w:val="baseline"/>
                <w:lang w:val="en-US" w:eastAsia="zh-CN" w:bidi="ar"/>
              </w:rPr>
            </w:pPr>
            <w:r>
              <w:rPr>
                <w:rFonts w:hint="default" w:ascii="Times New Roman" w:hAnsi="Times New Roman" w:eastAsia="宋体" w:cs="Times New Roman"/>
                <w:color w:val="auto"/>
                <w:kern w:val="2"/>
                <w:sz w:val="24"/>
                <w:szCs w:val="24"/>
                <w:vertAlign w:val="baseline"/>
                <w:lang w:val="en-US" w:eastAsia="zh-CN" w:bidi="ar"/>
              </w:rPr>
              <w:t>油浸式变压器</w:t>
            </w:r>
          </w:p>
        </w:tc>
        <w:tc>
          <w:tcPr>
            <w:tcW w:w="1299" w:type="pct"/>
            <w:noWrap w:val="0"/>
            <w:vAlign w:val="center"/>
          </w:tcPr>
          <w:p w14:paraId="4CD24F7D">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4"/>
                <w:szCs w:val="24"/>
                <w:vertAlign w:val="baseline"/>
                <w:lang w:val="en-US" w:eastAsia="zh-CN" w:bidi="ar"/>
              </w:rPr>
            </w:pPr>
            <w:r>
              <w:rPr>
                <w:rFonts w:hint="default" w:ascii="Times New Roman" w:hAnsi="Times New Roman" w:eastAsia="宋体" w:cs="Times New Roman"/>
                <w:color w:val="auto"/>
                <w:kern w:val="2"/>
                <w:sz w:val="24"/>
                <w:szCs w:val="24"/>
                <w:vertAlign w:val="baseline"/>
                <w:lang w:val="en-US" w:eastAsia="zh-CN" w:bidi="ar"/>
              </w:rPr>
              <w:t>S11-M3150/10</w:t>
            </w:r>
          </w:p>
        </w:tc>
        <w:tc>
          <w:tcPr>
            <w:tcW w:w="761" w:type="pct"/>
            <w:noWrap w:val="0"/>
            <w:vAlign w:val="center"/>
          </w:tcPr>
          <w:p w14:paraId="07A8C4C6">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4"/>
                <w:szCs w:val="24"/>
                <w:vertAlign w:val="baseline"/>
                <w:lang w:val="en-US" w:eastAsia="zh-CN" w:bidi="ar"/>
              </w:rPr>
            </w:pPr>
            <w:r>
              <w:rPr>
                <w:rFonts w:hint="eastAsia" w:ascii="Times New Roman" w:hAnsi="Times New Roman" w:eastAsia="宋体" w:cs="Times New Roman"/>
                <w:color w:val="auto"/>
                <w:kern w:val="2"/>
                <w:sz w:val="24"/>
                <w:szCs w:val="24"/>
                <w:vertAlign w:val="baseline"/>
                <w:lang w:val="en-US" w:eastAsia="zh-CN" w:bidi="ar"/>
              </w:rPr>
              <w:t>3150</w:t>
            </w:r>
          </w:p>
        </w:tc>
        <w:tc>
          <w:tcPr>
            <w:tcW w:w="762" w:type="pct"/>
            <w:noWrap w:val="0"/>
            <w:vAlign w:val="center"/>
          </w:tcPr>
          <w:p w14:paraId="6242B3B7">
            <w:pPr>
              <w:pStyle w:val="1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kern w:val="2"/>
                <w:sz w:val="24"/>
                <w:szCs w:val="24"/>
                <w:vertAlign w:val="baseline"/>
                <w:lang w:val="en-US" w:eastAsia="zh-CN" w:bidi="ar"/>
              </w:rPr>
            </w:pPr>
            <w:r>
              <w:rPr>
                <w:rFonts w:hint="eastAsia" w:ascii="Times New Roman" w:hAnsi="Times New Roman" w:cs="Times New Roman"/>
                <w:color w:val="auto"/>
                <w:kern w:val="2"/>
                <w:sz w:val="24"/>
                <w:szCs w:val="24"/>
                <w:vertAlign w:val="baseline"/>
                <w:lang w:val="en-US" w:eastAsia="zh-CN" w:bidi="ar"/>
              </w:rPr>
              <w:t>2</w:t>
            </w:r>
          </w:p>
        </w:tc>
      </w:tr>
    </w:tbl>
    <w:p w14:paraId="34F245D3">
      <w:pPr>
        <w:bidi w:val="0"/>
        <w:rPr>
          <w:rFonts w:hint="eastAsia"/>
          <w:color w:val="auto"/>
          <w:lang w:val="en-US" w:eastAsia="zh-CN"/>
        </w:rPr>
      </w:pPr>
      <w:r>
        <w:rPr>
          <w:rFonts w:hint="eastAsia"/>
          <w:color w:val="auto"/>
          <w:lang w:val="en-US" w:eastAsia="zh-CN"/>
        </w:rPr>
        <w:t>2. 矿用自卸汽车检测</w:t>
      </w:r>
    </w:p>
    <w:p w14:paraId="2014CA92">
      <w:pPr>
        <w:bidi w:val="0"/>
        <w:rPr>
          <w:rFonts w:hint="default"/>
          <w:color w:val="auto"/>
          <w:lang w:val="en-US" w:eastAsia="zh-CN"/>
        </w:rPr>
      </w:pPr>
      <w:r>
        <w:rPr>
          <w:rFonts w:hint="default"/>
          <w:color w:val="auto"/>
          <w:lang w:val="en-US" w:eastAsia="zh-CN"/>
        </w:rPr>
        <w:t>江西省坤育矿业有限公司</w:t>
      </w:r>
      <w:r>
        <w:rPr>
          <w:rFonts w:hint="eastAsia"/>
          <w:color w:val="auto"/>
          <w:lang w:val="en-US" w:eastAsia="zh-CN"/>
        </w:rPr>
        <w:t>委托中检集团公信安全科技有限公司其8辆矿用自卸汽车进行了检测，并于2025年4月29日出具了安全检测检验报告，检测结果均为合格。</w:t>
      </w:r>
    </w:p>
    <w:p w14:paraId="3A6DA3E3">
      <w:pPr>
        <w:pStyle w:val="3"/>
        <w:bidi w:val="0"/>
        <w:rPr>
          <w:rFonts w:hint="default"/>
          <w:color w:val="auto"/>
          <w:lang w:val="en-US" w:eastAsia="zh-CN"/>
        </w:rPr>
      </w:pPr>
      <w:bookmarkStart w:id="157" w:name="_Toc3572"/>
      <w:bookmarkStart w:id="158" w:name="_Toc17411"/>
      <w:bookmarkStart w:id="159" w:name="_Toc26707"/>
      <w:r>
        <w:rPr>
          <w:rFonts w:hint="default"/>
          <w:color w:val="auto"/>
          <w:lang w:val="en-US" w:eastAsia="zh-CN"/>
        </w:rPr>
        <w:t>2.5 矿山安全管理</w:t>
      </w:r>
      <w:bookmarkEnd w:id="157"/>
      <w:bookmarkEnd w:id="158"/>
      <w:bookmarkEnd w:id="159"/>
    </w:p>
    <w:p w14:paraId="74F72812">
      <w:pPr>
        <w:pStyle w:val="4"/>
        <w:bidi w:val="0"/>
        <w:rPr>
          <w:rFonts w:hint="default"/>
          <w:color w:val="auto"/>
          <w:lang w:val="en-US" w:eastAsia="zh-CN"/>
        </w:rPr>
      </w:pPr>
      <w:bookmarkStart w:id="160" w:name="_Toc11607"/>
      <w:bookmarkStart w:id="161" w:name="_Toc12505"/>
      <w:bookmarkStart w:id="162" w:name="_Toc31598"/>
      <w:r>
        <w:rPr>
          <w:rFonts w:hint="default"/>
          <w:color w:val="auto"/>
          <w:lang w:val="en-US" w:eastAsia="zh-CN"/>
        </w:rPr>
        <w:t>2.5.1 安全生产组织机构</w:t>
      </w:r>
      <w:bookmarkEnd w:id="160"/>
      <w:bookmarkEnd w:id="161"/>
      <w:bookmarkEnd w:id="162"/>
    </w:p>
    <w:p w14:paraId="630B64FA">
      <w:pPr>
        <w:bidi w:val="0"/>
        <w:rPr>
          <w:rFonts w:hint="eastAsia"/>
          <w:color w:val="auto"/>
          <w:lang w:val="en-US" w:eastAsia="zh-CN"/>
        </w:rPr>
      </w:pPr>
      <w:r>
        <w:rPr>
          <w:rFonts w:hint="eastAsia"/>
          <w:color w:val="auto"/>
          <w:lang w:val="en-US" w:eastAsia="zh-CN"/>
        </w:rPr>
        <w:t>2025年1月5日，江西省坤育矿业有限公司</w:t>
      </w:r>
      <w:r>
        <w:rPr>
          <w:rFonts w:hint="default"/>
          <w:color w:val="auto"/>
          <w:lang w:val="en-US" w:eastAsia="zh-CN"/>
        </w:rPr>
        <w:t>以文件的形式下发成立</w:t>
      </w:r>
      <w:r>
        <w:rPr>
          <w:rFonts w:hint="eastAsia"/>
          <w:color w:val="auto"/>
          <w:lang w:val="en-US" w:eastAsia="zh-CN"/>
        </w:rPr>
        <w:t>了</w:t>
      </w:r>
      <w:r>
        <w:rPr>
          <w:rFonts w:hint="default"/>
          <w:color w:val="auto"/>
          <w:lang w:val="en-US" w:eastAsia="zh-CN"/>
        </w:rPr>
        <w:t>安全生产领导小组</w:t>
      </w:r>
      <w:r>
        <w:rPr>
          <w:rFonts w:hint="eastAsia"/>
          <w:color w:val="auto"/>
          <w:lang w:val="en-US" w:eastAsia="zh-CN"/>
        </w:rPr>
        <w:t>。</w:t>
      </w:r>
    </w:p>
    <w:p w14:paraId="0BDE7A19">
      <w:pPr>
        <w:bidi w:val="0"/>
        <w:rPr>
          <w:rFonts w:hint="default"/>
          <w:color w:val="auto"/>
          <w:lang w:val="en-US" w:eastAsia="zh-CN"/>
        </w:rPr>
      </w:pPr>
      <w:r>
        <w:rPr>
          <w:rFonts w:hint="default"/>
          <w:color w:val="auto"/>
          <w:lang w:val="en-US" w:eastAsia="zh-CN"/>
        </w:rPr>
        <w:t>安全生产领导小组</w:t>
      </w:r>
      <w:r>
        <w:rPr>
          <w:rFonts w:hint="eastAsia"/>
          <w:color w:val="auto"/>
          <w:lang w:val="en-US" w:eastAsia="zh-CN"/>
        </w:rPr>
        <w:t>成员如下：</w:t>
      </w:r>
    </w:p>
    <w:p w14:paraId="7F9A393D">
      <w:pPr>
        <w:bidi w:val="0"/>
        <w:rPr>
          <w:rFonts w:hint="default"/>
          <w:color w:val="auto"/>
          <w:lang w:val="en-US" w:eastAsia="zh-CN"/>
        </w:rPr>
      </w:pPr>
      <w:r>
        <w:rPr>
          <w:rFonts w:hint="default"/>
          <w:color w:val="auto"/>
          <w:lang w:val="en-US" w:eastAsia="zh-CN"/>
        </w:rPr>
        <w:t>组</w:t>
      </w:r>
      <w:r>
        <w:rPr>
          <w:rFonts w:hint="eastAsia"/>
          <w:color w:val="auto"/>
          <w:lang w:val="en-US" w:eastAsia="zh-CN"/>
        </w:rPr>
        <w:t xml:space="preserve">  </w:t>
      </w:r>
      <w:r>
        <w:rPr>
          <w:rFonts w:hint="default"/>
          <w:color w:val="auto"/>
          <w:lang w:val="en-US" w:eastAsia="zh-CN"/>
        </w:rPr>
        <w:t>长</w:t>
      </w:r>
      <w:r>
        <w:rPr>
          <w:rFonts w:hint="eastAsia"/>
          <w:color w:val="auto"/>
          <w:lang w:val="en-US" w:eastAsia="zh-CN"/>
        </w:rPr>
        <w:t>：</w:t>
      </w:r>
      <w:r>
        <w:rPr>
          <w:rFonts w:hint="default"/>
          <w:color w:val="auto"/>
          <w:lang w:val="en-US" w:eastAsia="zh-CN"/>
        </w:rPr>
        <w:t>沈方楠</w:t>
      </w:r>
    </w:p>
    <w:p w14:paraId="650041CC">
      <w:pPr>
        <w:bidi w:val="0"/>
        <w:rPr>
          <w:rFonts w:hint="default"/>
          <w:color w:val="auto"/>
          <w:lang w:val="en-US" w:eastAsia="zh-CN"/>
        </w:rPr>
      </w:pPr>
      <w:r>
        <w:rPr>
          <w:rFonts w:hint="default"/>
          <w:color w:val="auto"/>
          <w:lang w:val="en-US" w:eastAsia="zh-CN"/>
        </w:rPr>
        <w:t>副组长</w:t>
      </w:r>
      <w:r>
        <w:rPr>
          <w:rFonts w:hint="eastAsia"/>
          <w:color w:val="auto"/>
          <w:lang w:val="en-US" w:eastAsia="zh-CN"/>
        </w:rPr>
        <w:t>：</w:t>
      </w:r>
      <w:r>
        <w:rPr>
          <w:rFonts w:hint="default"/>
          <w:color w:val="auto"/>
          <w:lang w:val="en-US" w:eastAsia="zh-CN"/>
        </w:rPr>
        <w:t>詹捷</w:t>
      </w:r>
    </w:p>
    <w:p w14:paraId="4EF4D411">
      <w:pPr>
        <w:bidi w:val="0"/>
        <w:rPr>
          <w:rFonts w:hint="default"/>
          <w:color w:val="auto"/>
          <w:lang w:val="en-US" w:eastAsia="zh-CN"/>
        </w:rPr>
      </w:pPr>
      <w:r>
        <w:rPr>
          <w:rFonts w:hint="default"/>
          <w:color w:val="auto"/>
          <w:lang w:val="en-US" w:eastAsia="zh-CN"/>
        </w:rPr>
        <w:t>成</w:t>
      </w:r>
      <w:r>
        <w:rPr>
          <w:rFonts w:hint="eastAsia"/>
          <w:color w:val="auto"/>
          <w:lang w:val="en-US" w:eastAsia="zh-CN"/>
        </w:rPr>
        <w:t xml:space="preserve">  </w:t>
      </w:r>
      <w:r>
        <w:rPr>
          <w:rFonts w:hint="default"/>
          <w:color w:val="auto"/>
          <w:lang w:val="en-US" w:eastAsia="zh-CN"/>
        </w:rPr>
        <w:t>员</w:t>
      </w:r>
      <w:r>
        <w:rPr>
          <w:rFonts w:hint="eastAsia"/>
          <w:color w:val="auto"/>
          <w:lang w:val="en-US" w:eastAsia="zh-CN"/>
        </w:rPr>
        <w:t>：</w:t>
      </w:r>
      <w:r>
        <w:rPr>
          <w:rFonts w:hint="default"/>
          <w:color w:val="auto"/>
          <w:lang w:val="en-US" w:eastAsia="zh-CN"/>
        </w:rPr>
        <w:t>蔡军、石大沐、廖必辉</w:t>
      </w:r>
    </w:p>
    <w:p w14:paraId="599427F7">
      <w:pPr>
        <w:bidi w:val="0"/>
        <w:rPr>
          <w:rFonts w:hint="default"/>
          <w:color w:val="auto"/>
          <w:lang w:val="en-US" w:eastAsia="zh-CN"/>
        </w:rPr>
      </w:pPr>
      <w:r>
        <w:rPr>
          <w:rFonts w:hint="default"/>
          <w:color w:val="auto"/>
          <w:lang w:val="en-US" w:eastAsia="zh-CN"/>
        </w:rPr>
        <w:t>领导小组下设办公室，安环部长詹捷为办公室主任，负责日常安全管理工作</w:t>
      </w:r>
      <w:r>
        <w:rPr>
          <w:rFonts w:hint="eastAsia"/>
          <w:color w:val="auto"/>
          <w:lang w:val="en-US" w:eastAsia="zh-CN"/>
        </w:rPr>
        <w:t>；</w:t>
      </w:r>
      <w:r>
        <w:rPr>
          <w:rFonts w:hint="default"/>
          <w:color w:val="auto"/>
          <w:lang w:val="en-US" w:eastAsia="zh-CN"/>
        </w:rPr>
        <w:t>蔡军、石大沐为现场专职安全员，负责矿山安全生产具体事务性工作</w:t>
      </w:r>
      <w:r>
        <w:rPr>
          <w:rFonts w:hint="eastAsia"/>
          <w:color w:val="auto"/>
          <w:lang w:val="en-US" w:eastAsia="zh-CN"/>
        </w:rPr>
        <w:t>。</w:t>
      </w:r>
    </w:p>
    <w:p w14:paraId="2D9BBBC5">
      <w:pPr>
        <w:pStyle w:val="4"/>
        <w:bidi w:val="0"/>
        <w:rPr>
          <w:rFonts w:hint="default"/>
          <w:color w:val="auto"/>
          <w:lang w:val="en-US" w:eastAsia="zh-CN"/>
        </w:rPr>
      </w:pPr>
      <w:bookmarkStart w:id="163" w:name="_Toc19027"/>
      <w:bookmarkStart w:id="164" w:name="_Toc11810"/>
      <w:bookmarkStart w:id="165" w:name="_Toc11570"/>
      <w:r>
        <w:rPr>
          <w:rFonts w:hint="default"/>
          <w:color w:val="auto"/>
          <w:lang w:val="en-US" w:eastAsia="zh-CN"/>
        </w:rPr>
        <w:t>2.</w:t>
      </w:r>
      <w:r>
        <w:rPr>
          <w:rFonts w:hint="eastAsia"/>
          <w:color w:val="auto"/>
          <w:lang w:val="en-US" w:eastAsia="zh-CN"/>
        </w:rPr>
        <w:t>5</w:t>
      </w:r>
      <w:r>
        <w:rPr>
          <w:rFonts w:hint="default"/>
          <w:color w:val="auto"/>
          <w:lang w:val="en-US" w:eastAsia="zh-CN"/>
        </w:rPr>
        <w:t>.2 安全生产管理规章制度</w:t>
      </w:r>
      <w:bookmarkEnd w:id="163"/>
      <w:bookmarkEnd w:id="164"/>
      <w:bookmarkEnd w:id="165"/>
    </w:p>
    <w:p w14:paraId="1FF8AB21">
      <w:pPr>
        <w:bidi w:val="0"/>
        <w:rPr>
          <w:rFonts w:hint="default"/>
          <w:color w:val="auto"/>
          <w:lang w:val="en-US" w:eastAsia="zh-CN"/>
        </w:rPr>
      </w:pPr>
      <w:r>
        <w:rPr>
          <w:rFonts w:hint="eastAsia"/>
          <w:color w:val="auto"/>
          <w:lang w:val="en-US" w:eastAsia="zh-CN"/>
        </w:rPr>
        <w:t>江西省坤育矿业有限公司</w:t>
      </w:r>
      <w:r>
        <w:rPr>
          <w:rFonts w:hint="default"/>
          <w:color w:val="auto"/>
          <w:lang w:val="en-US" w:eastAsia="zh-CN"/>
        </w:rPr>
        <w:t>编制了安全生产责任制，包括</w:t>
      </w:r>
      <w:r>
        <w:rPr>
          <w:rFonts w:hint="eastAsia"/>
          <w:color w:val="auto"/>
          <w:lang w:val="en-US" w:eastAsia="zh-CN"/>
        </w:rPr>
        <w:t>了董事长（法人）</w:t>
      </w:r>
      <w:r>
        <w:rPr>
          <w:rFonts w:hint="default"/>
          <w:color w:val="auto"/>
          <w:lang w:val="en-US" w:eastAsia="zh-CN"/>
        </w:rPr>
        <w:t>、</w:t>
      </w:r>
      <w:r>
        <w:rPr>
          <w:rFonts w:hint="eastAsia"/>
          <w:color w:val="auto"/>
          <w:lang w:val="en-US" w:eastAsia="zh-CN"/>
        </w:rPr>
        <w:t>总经理、各部长、车间班组长、安全员、各工人等</w:t>
      </w:r>
      <w:r>
        <w:rPr>
          <w:rFonts w:hint="default"/>
          <w:color w:val="auto"/>
          <w:lang w:val="en-US" w:eastAsia="zh-CN"/>
        </w:rPr>
        <w:t>安全生产责任制</w:t>
      </w:r>
      <w:r>
        <w:rPr>
          <w:rFonts w:hint="eastAsia"/>
          <w:color w:val="auto"/>
          <w:lang w:val="en-US" w:eastAsia="zh-CN"/>
        </w:rPr>
        <w:t>，</w:t>
      </w:r>
      <w:r>
        <w:rPr>
          <w:rFonts w:hint="default"/>
          <w:color w:val="auto"/>
          <w:lang w:val="en-US" w:eastAsia="zh-CN"/>
        </w:rPr>
        <w:t>安全生产责任制</w:t>
      </w:r>
      <w:r>
        <w:rPr>
          <w:rFonts w:hint="eastAsia"/>
          <w:color w:val="auto"/>
          <w:lang w:val="en-US" w:eastAsia="zh-CN"/>
        </w:rPr>
        <w:t>基本覆盖</w:t>
      </w:r>
      <w:r>
        <w:rPr>
          <w:rFonts w:hint="default"/>
          <w:color w:val="auto"/>
          <w:lang w:val="en-US" w:eastAsia="zh-CN"/>
        </w:rPr>
        <w:t>。</w:t>
      </w:r>
    </w:p>
    <w:p w14:paraId="4B12398F">
      <w:pPr>
        <w:bidi w:val="0"/>
        <w:rPr>
          <w:rFonts w:hint="default"/>
          <w:color w:val="auto"/>
          <w:lang w:val="en-US" w:eastAsia="zh-CN"/>
        </w:rPr>
      </w:pPr>
      <w:r>
        <w:rPr>
          <w:rFonts w:hint="default"/>
          <w:color w:val="auto"/>
          <w:lang w:val="en-US" w:eastAsia="zh-CN"/>
        </w:rPr>
        <w:t>制定了安全生产目标管理、安全生产</w:t>
      </w:r>
      <w:r>
        <w:rPr>
          <w:rFonts w:hint="eastAsia"/>
          <w:color w:val="auto"/>
          <w:lang w:val="en-US" w:eastAsia="zh-CN"/>
        </w:rPr>
        <w:t>例会</w:t>
      </w:r>
      <w:r>
        <w:rPr>
          <w:rFonts w:hint="default"/>
          <w:color w:val="auto"/>
          <w:lang w:val="en-US" w:eastAsia="zh-CN"/>
        </w:rPr>
        <w:t>、安全</w:t>
      </w:r>
      <w:r>
        <w:rPr>
          <w:rFonts w:hint="eastAsia"/>
          <w:color w:val="auto"/>
          <w:lang w:val="en-US" w:eastAsia="zh-CN"/>
        </w:rPr>
        <w:t>检查</w:t>
      </w:r>
      <w:r>
        <w:rPr>
          <w:rFonts w:hint="default"/>
          <w:color w:val="auto"/>
          <w:lang w:val="en-US" w:eastAsia="zh-CN"/>
        </w:rPr>
        <w:t>、安全培训教育、</w:t>
      </w:r>
      <w:r>
        <w:rPr>
          <w:rFonts w:hint="eastAsia"/>
          <w:color w:val="auto"/>
          <w:lang w:val="en-US" w:eastAsia="zh-CN"/>
        </w:rPr>
        <w:t>生产技术管理</w:t>
      </w:r>
      <w:r>
        <w:rPr>
          <w:rFonts w:hint="default"/>
          <w:color w:val="auto"/>
          <w:lang w:val="en-US" w:eastAsia="zh-CN"/>
        </w:rPr>
        <w:t>、</w:t>
      </w:r>
      <w:r>
        <w:rPr>
          <w:rFonts w:hint="eastAsia"/>
          <w:color w:val="auto"/>
          <w:lang w:val="en-US" w:eastAsia="zh-CN"/>
        </w:rPr>
        <w:t>安全生产责任制考核</w:t>
      </w:r>
      <w:r>
        <w:rPr>
          <w:rFonts w:hint="default"/>
          <w:color w:val="auto"/>
          <w:lang w:val="en-US" w:eastAsia="zh-CN"/>
        </w:rPr>
        <w:t>等管理制度</w:t>
      </w:r>
      <w:r>
        <w:rPr>
          <w:rFonts w:hint="eastAsia"/>
          <w:color w:val="auto"/>
          <w:lang w:val="en-US" w:eastAsia="zh-CN"/>
        </w:rPr>
        <w:t>，</w:t>
      </w:r>
      <w:r>
        <w:rPr>
          <w:rFonts w:hint="default"/>
          <w:color w:val="auto"/>
          <w:lang w:val="en-US" w:eastAsia="zh-CN"/>
        </w:rPr>
        <w:t>建立的安全生产管理制度较全面。</w:t>
      </w:r>
    </w:p>
    <w:p w14:paraId="1BFB3B45">
      <w:pPr>
        <w:bidi w:val="0"/>
        <w:rPr>
          <w:rFonts w:hint="default"/>
          <w:color w:val="auto"/>
          <w:lang w:val="en-US" w:eastAsia="zh-CN"/>
        </w:rPr>
      </w:pPr>
      <w:r>
        <w:rPr>
          <w:rFonts w:hint="default"/>
          <w:color w:val="auto"/>
          <w:lang w:val="en-US" w:eastAsia="zh-CN"/>
        </w:rPr>
        <w:t>制定了</w:t>
      </w:r>
      <w:r>
        <w:rPr>
          <w:rFonts w:hint="eastAsia"/>
          <w:color w:val="auto"/>
          <w:lang w:val="en-US" w:eastAsia="zh-CN"/>
        </w:rPr>
        <w:t>爆破工、挖掘机司机、铲车司机</w:t>
      </w:r>
      <w:r>
        <w:rPr>
          <w:rFonts w:hint="default"/>
          <w:color w:val="auto"/>
          <w:lang w:val="en-US" w:eastAsia="zh-CN"/>
        </w:rPr>
        <w:t>和</w:t>
      </w:r>
      <w:r>
        <w:rPr>
          <w:rFonts w:hint="eastAsia"/>
          <w:color w:val="auto"/>
          <w:lang w:val="en-US" w:eastAsia="zh-CN"/>
        </w:rPr>
        <w:t>采场作业等</w:t>
      </w:r>
      <w:r>
        <w:rPr>
          <w:rFonts w:hint="default"/>
          <w:color w:val="auto"/>
          <w:lang w:val="en-US" w:eastAsia="zh-CN"/>
        </w:rPr>
        <w:t>安全操作规程</w:t>
      </w:r>
      <w:r>
        <w:rPr>
          <w:rFonts w:hint="eastAsia"/>
          <w:color w:val="auto"/>
          <w:lang w:val="en-US" w:eastAsia="zh-CN"/>
        </w:rPr>
        <w:t>，安全操作规程较齐全。</w:t>
      </w:r>
    </w:p>
    <w:p w14:paraId="51578975">
      <w:pPr>
        <w:pStyle w:val="4"/>
        <w:bidi w:val="0"/>
        <w:rPr>
          <w:rFonts w:hint="default"/>
          <w:color w:val="auto"/>
          <w:lang w:val="en-US" w:eastAsia="zh-CN"/>
        </w:rPr>
      </w:pPr>
      <w:bookmarkStart w:id="166" w:name="_Toc15914"/>
      <w:bookmarkStart w:id="167" w:name="_Toc3099"/>
      <w:bookmarkStart w:id="168" w:name="_Toc31814"/>
      <w:r>
        <w:rPr>
          <w:rFonts w:hint="eastAsia"/>
          <w:color w:val="auto"/>
          <w:lang w:val="en-US" w:eastAsia="zh-CN"/>
        </w:rPr>
        <w:t>2.5.3 安全教育培训</w:t>
      </w:r>
      <w:bookmarkEnd w:id="166"/>
      <w:bookmarkEnd w:id="167"/>
      <w:bookmarkEnd w:id="168"/>
    </w:p>
    <w:p w14:paraId="08B81267">
      <w:pPr>
        <w:bidi w:val="0"/>
        <w:rPr>
          <w:rFonts w:hint="default"/>
          <w:color w:val="auto"/>
          <w:lang w:val="en-US" w:eastAsia="zh-CN"/>
        </w:rPr>
      </w:pPr>
      <w:r>
        <w:rPr>
          <w:rFonts w:hint="eastAsia"/>
          <w:color w:val="auto"/>
        </w:rPr>
        <w:t>江西省坤育矿业有限公司</w:t>
      </w:r>
      <w:r>
        <w:rPr>
          <w:rFonts w:hint="default"/>
          <w:color w:val="auto"/>
          <w:lang w:val="en-US" w:eastAsia="zh-CN"/>
        </w:rPr>
        <w:t>对</w:t>
      </w:r>
      <w:r>
        <w:rPr>
          <w:rFonts w:hint="eastAsia"/>
          <w:color w:val="auto"/>
          <w:lang w:val="en-US" w:eastAsia="zh-CN"/>
        </w:rPr>
        <w:t>新进</w:t>
      </w:r>
      <w:r>
        <w:rPr>
          <w:rFonts w:hint="default"/>
          <w:color w:val="auto"/>
          <w:lang w:val="en-US" w:eastAsia="zh-CN"/>
        </w:rPr>
        <w:t>人员进行了</w:t>
      </w:r>
      <w:r>
        <w:rPr>
          <w:rFonts w:hint="eastAsia" w:ascii="宋体" w:hAnsi="宋体" w:eastAsia="宋体" w:cs="宋体"/>
          <w:color w:val="auto"/>
          <w:lang w:val="en-US" w:eastAsia="zh-CN"/>
        </w:rPr>
        <w:t>“</w:t>
      </w:r>
      <w:r>
        <w:rPr>
          <w:rFonts w:hint="default"/>
          <w:color w:val="auto"/>
          <w:lang w:val="en-US" w:eastAsia="zh-CN"/>
        </w:rPr>
        <w:t>三级</w:t>
      </w:r>
      <w:r>
        <w:rPr>
          <w:rFonts w:hint="eastAsia" w:ascii="宋体" w:hAnsi="宋体" w:eastAsia="宋体" w:cs="宋体"/>
          <w:color w:val="auto"/>
          <w:lang w:val="en-US" w:eastAsia="zh-CN"/>
        </w:rPr>
        <w:t>”</w:t>
      </w:r>
      <w:r>
        <w:rPr>
          <w:rFonts w:hint="default"/>
          <w:color w:val="auto"/>
          <w:lang w:val="en-US" w:eastAsia="zh-CN"/>
        </w:rPr>
        <w:t>安全教育，同时根据国家的安全生产法规和政策要求，进行</w:t>
      </w:r>
      <w:r>
        <w:rPr>
          <w:rFonts w:hint="eastAsia"/>
          <w:color w:val="auto"/>
          <w:lang w:val="en-US" w:eastAsia="zh-CN"/>
        </w:rPr>
        <w:t>了从业人员</w:t>
      </w:r>
      <w:r>
        <w:rPr>
          <w:rFonts w:hint="default"/>
          <w:color w:val="auto"/>
          <w:lang w:val="en-US" w:eastAsia="zh-CN"/>
        </w:rPr>
        <w:t>日常教育和专题教育。主要负责人沈方楠和安全管理人员詹捷、蔡军</w:t>
      </w:r>
      <w:r>
        <w:rPr>
          <w:rFonts w:hint="eastAsia"/>
          <w:color w:val="auto"/>
          <w:lang w:val="en-US" w:eastAsia="zh-CN"/>
        </w:rPr>
        <w:t>、石大沐由</w:t>
      </w:r>
      <w:r>
        <w:rPr>
          <w:rFonts w:hint="default"/>
          <w:color w:val="auto"/>
          <w:lang w:val="en-US" w:eastAsia="zh-CN"/>
        </w:rPr>
        <w:t>九江市应急管理局</w:t>
      </w:r>
      <w:r>
        <w:rPr>
          <w:rFonts w:hint="eastAsia"/>
          <w:color w:val="auto"/>
          <w:lang w:val="en-US" w:eastAsia="zh-CN"/>
        </w:rPr>
        <w:t>签发</w:t>
      </w:r>
      <w:r>
        <w:rPr>
          <w:rFonts w:hint="default"/>
          <w:color w:val="auto"/>
          <w:lang w:val="en-US" w:eastAsia="zh-CN"/>
        </w:rPr>
        <w:t>了安全资格证，安全资格证在有效期内</w:t>
      </w:r>
      <w:r>
        <w:rPr>
          <w:rFonts w:hint="eastAsia"/>
          <w:color w:val="auto"/>
          <w:lang w:val="en-US" w:eastAsia="zh-CN"/>
        </w:rPr>
        <w:t>；</w:t>
      </w:r>
      <w:r>
        <w:rPr>
          <w:rFonts w:hint="default"/>
          <w:color w:val="auto"/>
          <w:lang w:val="en-US" w:eastAsia="zh-CN"/>
        </w:rPr>
        <w:t>特种作业人员</w:t>
      </w:r>
      <w:r>
        <w:rPr>
          <w:rFonts w:hint="eastAsia"/>
          <w:color w:val="auto"/>
          <w:lang w:val="en-US" w:eastAsia="zh-CN"/>
        </w:rPr>
        <w:t>4</w:t>
      </w:r>
      <w:r>
        <w:rPr>
          <w:rFonts w:hint="default"/>
          <w:color w:val="auto"/>
          <w:lang w:val="en-US" w:eastAsia="zh-CN"/>
        </w:rPr>
        <w:t>人取得了特种作业操作证书，做到持证上岗</w:t>
      </w:r>
      <w:r>
        <w:rPr>
          <w:rFonts w:hint="eastAsia"/>
          <w:color w:val="auto"/>
          <w:lang w:val="en-US" w:eastAsia="zh-CN"/>
        </w:rPr>
        <w:t>；</w:t>
      </w:r>
      <w:r>
        <w:rPr>
          <w:rFonts w:hint="default"/>
          <w:color w:val="auto"/>
          <w:lang w:val="en-US" w:eastAsia="zh-CN"/>
        </w:rPr>
        <w:t>企业配备了采矿</w:t>
      </w:r>
      <w:r>
        <w:rPr>
          <w:rFonts w:hint="eastAsia"/>
          <w:color w:val="auto"/>
          <w:lang w:val="en-US" w:eastAsia="zh-CN"/>
        </w:rPr>
        <w:t>、测量</w:t>
      </w:r>
      <w:r>
        <w:rPr>
          <w:rFonts w:hint="default"/>
          <w:color w:val="auto"/>
          <w:lang w:val="en-US" w:eastAsia="zh-CN"/>
        </w:rPr>
        <w:t>专业技术人员</w:t>
      </w:r>
      <w:r>
        <w:rPr>
          <w:rFonts w:hint="eastAsia"/>
          <w:color w:val="auto"/>
          <w:lang w:val="en-US" w:eastAsia="zh-CN"/>
        </w:rPr>
        <w:t>1名，机电</w:t>
      </w:r>
      <w:r>
        <w:rPr>
          <w:rFonts w:hint="default"/>
          <w:color w:val="auto"/>
          <w:lang w:val="en-US" w:eastAsia="zh-CN"/>
        </w:rPr>
        <w:t>专业技术人员</w:t>
      </w:r>
      <w:r>
        <w:rPr>
          <w:rFonts w:hint="eastAsia"/>
          <w:color w:val="auto"/>
          <w:lang w:val="en-US" w:eastAsia="zh-CN"/>
        </w:rPr>
        <w:t>2名，</w:t>
      </w:r>
      <w:r>
        <w:rPr>
          <w:rFonts w:hint="default"/>
          <w:strike w:val="0"/>
          <w:dstrike w:val="0"/>
          <w:color w:val="auto"/>
          <w:lang w:val="en-US" w:eastAsia="zh-CN"/>
        </w:rPr>
        <w:t>配有</w:t>
      </w:r>
      <w:r>
        <w:rPr>
          <w:rFonts w:hint="eastAsia"/>
          <w:strike w:val="0"/>
          <w:dstrike w:val="0"/>
          <w:color w:val="auto"/>
          <w:lang w:val="en-US" w:eastAsia="zh-CN"/>
        </w:rPr>
        <w:t>1</w:t>
      </w:r>
      <w:r>
        <w:rPr>
          <w:rFonts w:hint="default"/>
          <w:strike w:val="0"/>
          <w:dstrike w:val="0"/>
          <w:color w:val="auto"/>
          <w:lang w:val="en-US" w:eastAsia="zh-CN"/>
        </w:rPr>
        <w:t>名注册安全工程师从事安全生产管理工作</w:t>
      </w:r>
      <w:r>
        <w:rPr>
          <w:rFonts w:hint="eastAsia"/>
          <w:color w:val="auto"/>
          <w:lang w:val="en-US" w:eastAsia="zh-CN"/>
        </w:rPr>
        <w:t>（</w:t>
      </w:r>
      <w:r>
        <w:rPr>
          <w:rFonts w:hint="default"/>
          <w:color w:val="auto"/>
          <w:lang w:val="en-US" w:eastAsia="zh-CN"/>
        </w:rPr>
        <w:t>详见表2</w:t>
      </w:r>
      <w:r>
        <w:rPr>
          <w:rFonts w:hint="eastAsia"/>
          <w:color w:val="auto"/>
          <w:lang w:val="en-US" w:eastAsia="zh-CN"/>
        </w:rPr>
        <w:t>.5-1）。</w:t>
      </w:r>
    </w:p>
    <w:p w14:paraId="46CAADFA">
      <w:pPr>
        <w:bidi w:val="0"/>
        <w:ind w:left="0" w:leftChars="0" w:firstLine="0" w:firstLineChars="0"/>
        <w:jc w:val="center"/>
        <w:rPr>
          <w:rFonts w:hint="default"/>
          <w:color w:val="auto"/>
          <w:lang w:val="en-US" w:eastAsia="zh-CN"/>
        </w:rPr>
      </w:pPr>
      <w:r>
        <w:rPr>
          <w:rFonts w:hint="default"/>
          <w:color w:val="auto"/>
          <w:lang w:val="en-US" w:eastAsia="zh-CN"/>
        </w:rPr>
        <w:t>表2.</w:t>
      </w:r>
      <w:r>
        <w:rPr>
          <w:rFonts w:hint="eastAsia"/>
          <w:color w:val="auto"/>
          <w:lang w:val="en-US" w:eastAsia="zh-CN"/>
        </w:rPr>
        <w:t>5</w:t>
      </w:r>
      <w:r>
        <w:rPr>
          <w:rFonts w:hint="default"/>
          <w:color w:val="auto"/>
          <w:lang w:val="en-US" w:eastAsia="zh-CN"/>
        </w:rPr>
        <w:t>-1 人员证件清单</w:t>
      </w:r>
    </w:p>
    <w:tbl>
      <w:tblPr>
        <w:tblStyle w:val="19"/>
        <w:tblW w:w="5221"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0"/>
        <w:gridCol w:w="854"/>
        <w:gridCol w:w="681"/>
        <w:gridCol w:w="2273"/>
        <w:gridCol w:w="727"/>
        <w:gridCol w:w="1037"/>
        <w:gridCol w:w="750"/>
        <w:gridCol w:w="716"/>
        <w:gridCol w:w="1540"/>
      </w:tblGrid>
      <w:tr w14:paraId="1242B5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3" w:hRule="atLeast"/>
        </w:trPr>
        <w:tc>
          <w:tcPr>
            <w:tcW w:w="577" w:type="pct"/>
            <w:vAlign w:val="center"/>
          </w:tcPr>
          <w:p w14:paraId="1612203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eastAsia" w:ascii="Times New Roman" w:eastAsia="宋体"/>
                <w:strike w:val="0"/>
                <w:dstrike w:val="0"/>
                <w:color w:val="auto"/>
                <w:sz w:val="21"/>
                <w:szCs w:val="21"/>
                <w:vertAlign w:val="baseline"/>
                <w:lang w:val="en-US" w:eastAsia="zh-CN"/>
              </w:rPr>
              <w:t>主要负责人</w:t>
            </w:r>
          </w:p>
        </w:tc>
        <w:tc>
          <w:tcPr>
            <w:tcW w:w="440" w:type="pct"/>
            <w:vAlign w:val="center"/>
          </w:tcPr>
          <w:p w14:paraId="7623C34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eastAsia" w:ascii="Times New Roman" w:eastAsia="宋体"/>
                <w:strike w:val="0"/>
                <w:dstrike w:val="0"/>
                <w:color w:val="auto"/>
                <w:sz w:val="21"/>
                <w:szCs w:val="21"/>
                <w:vertAlign w:val="baseline"/>
                <w:lang w:val="en-US" w:eastAsia="zh-CN"/>
              </w:rPr>
              <w:t>沈方楠</w:t>
            </w:r>
          </w:p>
        </w:tc>
        <w:tc>
          <w:tcPr>
            <w:tcW w:w="351" w:type="pct"/>
            <w:vAlign w:val="center"/>
          </w:tcPr>
          <w:p w14:paraId="4E1BFFE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default"/>
                <w:strike w:val="0"/>
                <w:dstrike w:val="0"/>
                <w:color w:val="auto"/>
                <w:sz w:val="21"/>
                <w:szCs w:val="21"/>
                <w:vertAlign w:val="baseline"/>
                <w:lang w:val="en-US" w:eastAsia="zh-CN"/>
              </w:rPr>
              <w:t>证号</w:t>
            </w:r>
          </w:p>
        </w:tc>
        <w:tc>
          <w:tcPr>
            <w:tcW w:w="1546" w:type="pct"/>
            <w:gridSpan w:val="2"/>
            <w:vAlign w:val="center"/>
          </w:tcPr>
          <w:p w14:paraId="26FACDF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eastAsia="宋体"/>
                <w:strike w:val="0"/>
                <w:dstrike w:val="0"/>
                <w:color w:val="auto"/>
                <w:sz w:val="21"/>
                <w:szCs w:val="21"/>
                <w:vertAlign w:val="baseline"/>
                <w:lang w:val="en-US" w:eastAsia="zh-CN"/>
              </w:rPr>
            </w:pPr>
            <w:r>
              <w:rPr>
                <w:rFonts w:hint="default"/>
                <w:strike w:val="0"/>
                <w:dstrike w:val="0"/>
                <w:color w:val="auto"/>
                <w:sz w:val="21"/>
                <w:szCs w:val="21"/>
                <w:vertAlign w:val="baseline"/>
                <w:lang w:val="en-US" w:eastAsia="zh-CN"/>
              </w:rPr>
              <w:t>412829197908162437</w:t>
            </w:r>
          </w:p>
        </w:tc>
        <w:tc>
          <w:tcPr>
            <w:tcW w:w="535" w:type="pct"/>
            <w:vAlign w:val="center"/>
          </w:tcPr>
          <w:p w14:paraId="30C9C01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eastAsia" w:ascii="Times New Roman" w:eastAsia="宋体"/>
                <w:strike w:val="0"/>
                <w:dstrike w:val="0"/>
                <w:color w:val="auto"/>
                <w:sz w:val="21"/>
                <w:szCs w:val="21"/>
                <w:vertAlign w:val="baseline"/>
                <w:lang w:val="en-US" w:eastAsia="zh-CN"/>
              </w:rPr>
              <w:t>有效期</w:t>
            </w:r>
          </w:p>
        </w:tc>
        <w:tc>
          <w:tcPr>
            <w:tcW w:w="1549" w:type="pct"/>
            <w:gridSpan w:val="3"/>
            <w:vAlign w:val="center"/>
          </w:tcPr>
          <w:p w14:paraId="2D8B111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eastAsia" w:ascii="Times New Roman" w:eastAsia="宋体"/>
                <w:strike w:val="0"/>
                <w:dstrike w:val="0"/>
                <w:color w:val="auto"/>
                <w:sz w:val="21"/>
                <w:szCs w:val="21"/>
                <w:vertAlign w:val="baseline"/>
                <w:lang w:val="en-US" w:eastAsia="zh-CN"/>
              </w:rPr>
              <w:t>2022-11-04—2025-11-03</w:t>
            </w:r>
          </w:p>
        </w:tc>
      </w:tr>
      <w:tr w14:paraId="2587C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577" w:type="pct"/>
            <w:vAlign w:val="center"/>
          </w:tcPr>
          <w:p w14:paraId="4768FDB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trike w:val="0"/>
                <w:dstrike w:val="0"/>
                <w:color w:val="auto"/>
                <w:sz w:val="21"/>
                <w:szCs w:val="21"/>
                <w:vertAlign w:val="baseline"/>
                <w:lang w:val="en-US" w:eastAsia="zh-CN"/>
              </w:rPr>
            </w:pPr>
            <w:r>
              <w:rPr>
                <w:rFonts w:hint="eastAsia" w:ascii="Times New Roman" w:hAnsi="Times New Roman" w:eastAsia="宋体" w:cs="Times New Roman"/>
                <w:strike w:val="0"/>
                <w:dstrike w:val="0"/>
                <w:color w:val="auto"/>
                <w:sz w:val="21"/>
                <w:szCs w:val="21"/>
                <w:vertAlign w:val="baseline"/>
                <w:lang w:val="en-US" w:eastAsia="zh-CN"/>
              </w:rPr>
              <w:t>安全管理人员</w:t>
            </w:r>
          </w:p>
        </w:tc>
        <w:tc>
          <w:tcPr>
            <w:tcW w:w="440" w:type="pct"/>
            <w:vAlign w:val="center"/>
          </w:tcPr>
          <w:p w14:paraId="4179AA0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trike w:val="0"/>
                <w:dstrike w:val="0"/>
                <w:color w:val="auto"/>
                <w:sz w:val="21"/>
                <w:szCs w:val="21"/>
                <w:vertAlign w:val="baseline"/>
                <w:lang w:val="en-US" w:eastAsia="zh-CN"/>
              </w:rPr>
            </w:pPr>
            <w:r>
              <w:rPr>
                <w:rFonts w:hint="default" w:ascii="Times New Roman" w:hAnsi="Times New Roman" w:eastAsia="宋体" w:cs="Times New Roman"/>
                <w:strike w:val="0"/>
                <w:dstrike w:val="0"/>
                <w:color w:val="auto"/>
                <w:sz w:val="21"/>
                <w:szCs w:val="21"/>
                <w:vertAlign w:val="baseline"/>
                <w:lang w:val="en-US" w:eastAsia="zh-CN"/>
              </w:rPr>
              <w:t>詹捷</w:t>
            </w:r>
          </w:p>
        </w:tc>
        <w:tc>
          <w:tcPr>
            <w:tcW w:w="351" w:type="pct"/>
            <w:vAlign w:val="center"/>
          </w:tcPr>
          <w:p w14:paraId="4C7AA74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trike w:val="0"/>
                <w:dstrike w:val="0"/>
                <w:color w:val="auto"/>
                <w:sz w:val="21"/>
                <w:szCs w:val="21"/>
                <w:vertAlign w:val="baseline"/>
                <w:lang w:val="en-US" w:eastAsia="zh-CN"/>
              </w:rPr>
            </w:pPr>
            <w:r>
              <w:rPr>
                <w:rFonts w:hint="default" w:ascii="Times New Roman" w:hAnsi="Times New Roman" w:eastAsia="宋体" w:cs="Times New Roman"/>
                <w:strike w:val="0"/>
                <w:dstrike w:val="0"/>
                <w:color w:val="auto"/>
                <w:sz w:val="21"/>
                <w:szCs w:val="21"/>
                <w:vertAlign w:val="baseline"/>
                <w:lang w:val="en-US" w:eastAsia="zh-CN"/>
              </w:rPr>
              <w:t>证号</w:t>
            </w:r>
          </w:p>
        </w:tc>
        <w:tc>
          <w:tcPr>
            <w:tcW w:w="1546" w:type="pct"/>
            <w:gridSpan w:val="2"/>
            <w:vAlign w:val="center"/>
          </w:tcPr>
          <w:p w14:paraId="7A5137F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trike w:val="0"/>
                <w:dstrike w:val="0"/>
                <w:color w:val="auto"/>
                <w:sz w:val="21"/>
                <w:szCs w:val="21"/>
                <w:vertAlign w:val="baseline"/>
                <w:lang w:val="en-US" w:eastAsia="zh-CN"/>
              </w:rPr>
            </w:pPr>
            <w:r>
              <w:rPr>
                <w:rFonts w:hint="default" w:ascii="Times New Roman" w:hAnsi="Times New Roman" w:eastAsia="宋体" w:cs="Times New Roman"/>
                <w:strike w:val="0"/>
                <w:dstrike w:val="0"/>
                <w:color w:val="auto"/>
                <w:sz w:val="21"/>
                <w:szCs w:val="21"/>
                <w:vertAlign w:val="baseline"/>
                <w:lang w:val="en-US" w:eastAsia="zh-CN"/>
              </w:rPr>
              <w:t>360481199105180611</w:t>
            </w:r>
          </w:p>
        </w:tc>
        <w:tc>
          <w:tcPr>
            <w:tcW w:w="535" w:type="pct"/>
            <w:vAlign w:val="center"/>
          </w:tcPr>
          <w:p w14:paraId="267D1EF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trike w:val="0"/>
                <w:dstrike w:val="0"/>
                <w:color w:val="auto"/>
                <w:sz w:val="21"/>
                <w:szCs w:val="21"/>
                <w:vertAlign w:val="baseline"/>
                <w:lang w:val="en-US" w:eastAsia="zh-CN"/>
              </w:rPr>
            </w:pPr>
            <w:r>
              <w:rPr>
                <w:rFonts w:hint="eastAsia" w:ascii="Times New Roman" w:hAnsi="Times New Roman" w:eastAsia="宋体" w:cs="Times New Roman"/>
                <w:strike w:val="0"/>
                <w:dstrike w:val="0"/>
                <w:color w:val="auto"/>
                <w:sz w:val="21"/>
                <w:szCs w:val="21"/>
                <w:vertAlign w:val="baseline"/>
                <w:lang w:val="en-US" w:eastAsia="zh-CN"/>
              </w:rPr>
              <w:t>有效期</w:t>
            </w:r>
          </w:p>
        </w:tc>
        <w:tc>
          <w:tcPr>
            <w:tcW w:w="1549" w:type="pct"/>
            <w:gridSpan w:val="3"/>
            <w:vAlign w:val="center"/>
          </w:tcPr>
          <w:p w14:paraId="765949E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trike w:val="0"/>
                <w:dstrike w:val="0"/>
                <w:color w:val="auto"/>
                <w:sz w:val="21"/>
                <w:szCs w:val="21"/>
                <w:vertAlign w:val="baseline"/>
                <w:lang w:val="en-US" w:eastAsia="zh-CN"/>
              </w:rPr>
            </w:pPr>
            <w:r>
              <w:rPr>
                <w:rFonts w:hint="eastAsia" w:ascii="Times New Roman" w:hAnsi="Times New Roman" w:eastAsia="宋体" w:cs="Times New Roman"/>
                <w:strike w:val="0"/>
                <w:dstrike w:val="0"/>
                <w:color w:val="auto"/>
                <w:sz w:val="21"/>
                <w:szCs w:val="21"/>
                <w:vertAlign w:val="baseline"/>
                <w:lang w:val="en-US" w:eastAsia="zh-CN"/>
              </w:rPr>
              <w:t>2024-05-07—2027-05-06</w:t>
            </w:r>
          </w:p>
        </w:tc>
      </w:tr>
      <w:tr w14:paraId="756C7C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577" w:type="pct"/>
            <w:vAlign w:val="center"/>
          </w:tcPr>
          <w:p w14:paraId="2FAAB07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eastAsia" w:ascii="Times New Roman" w:eastAsia="宋体"/>
                <w:strike w:val="0"/>
                <w:dstrike w:val="0"/>
                <w:color w:val="auto"/>
                <w:sz w:val="21"/>
                <w:szCs w:val="21"/>
                <w:vertAlign w:val="baseline"/>
                <w:lang w:val="en-US" w:eastAsia="zh-CN"/>
              </w:rPr>
              <w:t>安全管理人员</w:t>
            </w:r>
          </w:p>
        </w:tc>
        <w:tc>
          <w:tcPr>
            <w:tcW w:w="440" w:type="pct"/>
            <w:vAlign w:val="center"/>
          </w:tcPr>
          <w:p w14:paraId="23C4C07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eastAsia" w:ascii="Times New Roman" w:eastAsia="宋体"/>
                <w:strike w:val="0"/>
                <w:dstrike w:val="0"/>
                <w:color w:val="auto"/>
                <w:sz w:val="21"/>
                <w:szCs w:val="21"/>
                <w:vertAlign w:val="baseline"/>
                <w:lang w:val="en-US" w:eastAsia="zh-CN"/>
              </w:rPr>
              <w:t>蔡军</w:t>
            </w:r>
          </w:p>
        </w:tc>
        <w:tc>
          <w:tcPr>
            <w:tcW w:w="351" w:type="pct"/>
            <w:vAlign w:val="center"/>
          </w:tcPr>
          <w:p w14:paraId="52D2660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default"/>
                <w:strike w:val="0"/>
                <w:dstrike w:val="0"/>
                <w:color w:val="auto"/>
                <w:sz w:val="21"/>
                <w:szCs w:val="21"/>
                <w:vertAlign w:val="baseline"/>
                <w:lang w:val="en-US" w:eastAsia="zh-CN"/>
              </w:rPr>
              <w:t>证号</w:t>
            </w:r>
          </w:p>
        </w:tc>
        <w:tc>
          <w:tcPr>
            <w:tcW w:w="1546" w:type="pct"/>
            <w:gridSpan w:val="2"/>
            <w:vAlign w:val="center"/>
          </w:tcPr>
          <w:p w14:paraId="5DD978F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eastAsia="宋体"/>
                <w:strike w:val="0"/>
                <w:dstrike w:val="0"/>
                <w:color w:val="auto"/>
                <w:sz w:val="21"/>
                <w:szCs w:val="21"/>
                <w:vertAlign w:val="baseline"/>
                <w:lang w:val="en-US" w:eastAsia="zh-CN"/>
              </w:rPr>
            </w:pPr>
            <w:r>
              <w:rPr>
                <w:rFonts w:hint="default"/>
                <w:strike w:val="0"/>
                <w:dstrike w:val="0"/>
                <w:color w:val="auto"/>
                <w:sz w:val="21"/>
                <w:szCs w:val="21"/>
                <w:vertAlign w:val="baseline"/>
                <w:lang w:val="en-US" w:eastAsia="zh-CN"/>
              </w:rPr>
              <w:t>360426197307223217</w:t>
            </w:r>
          </w:p>
        </w:tc>
        <w:tc>
          <w:tcPr>
            <w:tcW w:w="535" w:type="pct"/>
            <w:vAlign w:val="center"/>
          </w:tcPr>
          <w:p w14:paraId="315D880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eastAsia" w:ascii="Times New Roman" w:eastAsia="宋体"/>
                <w:strike w:val="0"/>
                <w:dstrike w:val="0"/>
                <w:color w:val="auto"/>
                <w:sz w:val="21"/>
                <w:szCs w:val="21"/>
                <w:vertAlign w:val="baseline"/>
                <w:lang w:val="en-US" w:eastAsia="zh-CN"/>
              </w:rPr>
              <w:t>有效期</w:t>
            </w:r>
          </w:p>
        </w:tc>
        <w:tc>
          <w:tcPr>
            <w:tcW w:w="1549" w:type="pct"/>
            <w:gridSpan w:val="3"/>
            <w:vAlign w:val="center"/>
          </w:tcPr>
          <w:p w14:paraId="53E54ED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eastAsia" w:ascii="Times New Roman" w:eastAsia="宋体"/>
                <w:strike w:val="0"/>
                <w:dstrike w:val="0"/>
                <w:color w:val="auto"/>
                <w:sz w:val="21"/>
                <w:szCs w:val="21"/>
                <w:vertAlign w:val="baseline"/>
                <w:lang w:val="en-US" w:eastAsia="zh-CN"/>
              </w:rPr>
              <w:t>2024-05-07—2027-05-06</w:t>
            </w:r>
          </w:p>
        </w:tc>
      </w:tr>
      <w:tr w14:paraId="61D93C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577" w:type="pct"/>
            <w:vAlign w:val="center"/>
          </w:tcPr>
          <w:p w14:paraId="46FCB50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eastAsia="宋体"/>
                <w:strike w:val="0"/>
                <w:dstrike w:val="0"/>
                <w:color w:val="auto"/>
                <w:sz w:val="21"/>
                <w:szCs w:val="21"/>
                <w:vertAlign w:val="baseline"/>
                <w:lang w:val="en-US" w:eastAsia="zh-CN"/>
              </w:rPr>
            </w:pPr>
            <w:r>
              <w:rPr>
                <w:rFonts w:hint="eastAsia" w:ascii="Times New Roman" w:eastAsia="宋体"/>
                <w:strike w:val="0"/>
                <w:dstrike w:val="0"/>
                <w:color w:val="auto"/>
                <w:sz w:val="21"/>
                <w:szCs w:val="21"/>
                <w:vertAlign w:val="baseline"/>
                <w:lang w:val="en-US" w:eastAsia="zh-CN"/>
              </w:rPr>
              <w:t>安全管理人员</w:t>
            </w:r>
          </w:p>
        </w:tc>
        <w:tc>
          <w:tcPr>
            <w:tcW w:w="440" w:type="pct"/>
            <w:vAlign w:val="center"/>
          </w:tcPr>
          <w:p w14:paraId="71A61EC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eastAsia="宋体"/>
                <w:strike w:val="0"/>
                <w:dstrike w:val="0"/>
                <w:color w:val="auto"/>
                <w:sz w:val="21"/>
                <w:szCs w:val="21"/>
                <w:vertAlign w:val="baseline"/>
                <w:lang w:val="en-US" w:eastAsia="zh-CN"/>
              </w:rPr>
            </w:pPr>
            <w:r>
              <w:rPr>
                <w:rFonts w:hint="eastAsia" w:ascii="Times New Roman" w:eastAsia="宋体"/>
                <w:strike w:val="0"/>
                <w:dstrike w:val="0"/>
                <w:color w:val="auto"/>
                <w:sz w:val="21"/>
                <w:szCs w:val="21"/>
                <w:vertAlign w:val="baseline"/>
                <w:lang w:val="en-US" w:eastAsia="zh-CN"/>
              </w:rPr>
              <w:t>石大沐</w:t>
            </w:r>
          </w:p>
        </w:tc>
        <w:tc>
          <w:tcPr>
            <w:tcW w:w="351" w:type="pct"/>
            <w:vAlign w:val="center"/>
          </w:tcPr>
          <w:p w14:paraId="7F03927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default"/>
                <w:strike w:val="0"/>
                <w:dstrike w:val="0"/>
                <w:color w:val="auto"/>
                <w:sz w:val="21"/>
                <w:szCs w:val="21"/>
                <w:vertAlign w:val="baseline"/>
                <w:lang w:val="en-US" w:eastAsia="zh-CN"/>
              </w:rPr>
              <w:t>证号</w:t>
            </w:r>
          </w:p>
        </w:tc>
        <w:tc>
          <w:tcPr>
            <w:tcW w:w="1546" w:type="pct"/>
            <w:gridSpan w:val="2"/>
            <w:vAlign w:val="center"/>
          </w:tcPr>
          <w:p w14:paraId="713FA09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eastAsia="宋体"/>
                <w:strike w:val="0"/>
                <w:dstrike w:val="0"/>
                <w:color w:val="auto"/>
                <w:sz w:val="21"/>
                <w:szCs w:val="21"/>
                <w:vertAlign w:val="baseline"/>
                <w:lang w:val="en-US" w:eastAsia="zh-CN"/>
              </w:rPr>
            </w:pPr>
            <w:r>
              <w:rPr>
                <w:rFonts w:hint="default"/>
                <w:strike w:val="0"/>
                <w:dstrike w:val="0"/>
                <w:color w:val="auto"/>
                <w:sz w:val="21"/>
                <w:szCs w:val="21"/>
                <w:vertAlign w:val="baseline"/>
                <w:lang w:val="en-US" w:eastAsia="zh-CN"/>
              </w:rPr>
              <w:t>433030198205222019</w:t>
            </w:r>
          </w:p>
        </w:tc>
        <w:tc>
          <w:tcPr>
            <w:tcW w:w="535" w:type="pct"/>
            <w:vAlign w:val="center"/>
          </w:tcPr>
          <w:p w14:paraId="137ECCA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eastAsia="宋体"/>
                <w:strike w:val="0"/>
                <w:dstrike w:val="0"/>
                <w:color w:val="auto"/>
                <w:sz w:val="21"/>
                <w:szCs w:val="21"/>
                <w:vertAlign w:val="baseline"/>
                <w:lang w:val="en-US" w:eastAsia="zh-CN"/>
              </w:rPr>
            </w:pPr>
            <w:r>
              <w:rPr>
                <w:rFonts w:hint="eastAsia" w:ascii="Times New Roman" w:eastAsia="宋体"/>
                <w:strike w:val="0"/>
                <w:dstrike w:val="0"/>
                <w:color w:val="auto"/>
                <w:sz w:val="21"/>
                <w:szCs w:val="21"/>
                <w:vertAlign w:val="baseline"/>
                <w:lang w:val="en-US" w:eastAsia="zh-CN"/>
              </w:rPr>
              <w:t>有效期</w:t>
            </w:r>
          </w:p>
        </w:tc>
        <w:tc>
          <w:tcPr>
            <w:tcW w:w="1549" w:type="pct"/>
            <w:gridSpan w:val="3"/>
            <w:vAlign w:val="center"/>
          </w:tcPr>
          <w:p w14:paraId="5AEB532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eastAsia="宋体"/>
                <w:strike w:val="0"/>
                <w:dstrike w:val="0"/>
                <w:color w:val="auto"/>
                <w:sz w:val="21"/>
                <w:szCs w:val="21"/>
                <w:vertAlign w:val="baseline"/>
                <w:lang w:val="en-US" w:eastAsia="zh-CN"/>
              </w:rPr>
            </w:pPr>
            <w:r>
              <w:rPr>
                <w:rFonts w:hint="eastAsia" w:ascii="Times New Roman" w:eastAsia="宋体"/>
                <w:strike w:val="0"/>
                <w:dstrike w:val="0"/>
                <w:color w:val="auto"/>
                <w:sz w:val="21"/>
                <w:szCs w:val="21"/>
                <w:vertAlign w:val="baseline"/>
                <w:lang w:val="en-US" w:eastAsia="zh-CN"/>
              </w:rPr>
              <w:t>2023-12-22—2026-12-21</w:t>
            </w:r>
          </w:p>
        </w:tc>
      </w:tr>
      <w:tr w14:paraId="0A8131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7" w:type="pct"/>
            <w:vAlign w:val="center"/>
          </w:tcPr>
          <w:p w14:paraId="6D67923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eastAsia" w:ascii="Times New Roman" w:eastAsia="宋体"/>
                <w:strike w:val="0"/>
                <w:dstrike w:val="0"/>
                <w:color w:val="auto"/>
                <w:sz w:val="21"/>
                <w:szCs w:val="21"/>
                <w:vertAlign w:val="baseline"/>
                <w:lang w:val="en-US" w:eastAsia="zh-CN"/>
              </w:rPr>
              <w:t>专业技术人员</w:t>
            </w:r>
          </w:p>
        </w:tc>
        <w:tc>
          <w:tcPr>
            <w:tcW w:w="440" w:type="pct"/>
            <w:vAlign w:val="center"/>
          </w:tcPr>
          <w:p w14:paraId="1502394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eastAsia"/>
                <w:strike w:val="0"/>
                <w:dstrike w:val="0"/>
                <w:color w:val="auto"/>
                <w:sz w:val="21"/>
                <w:szCs w:val="21"/>
                <w:vertAlign w:val="baseline"/>
                <w:lang w:val="en-US" w:eastAsia="zh-CN"/>
              </w:rPr>
              <w:t>严志群</w:t>
            </w:r>
          </w:p>
        </w:tc>
        <w:tc>
          <w:tcPr>
            <w:tcW w:w="351" w:type="pct"/>
            <w:vAlign w:val="center"/>
          </w:tcPr>
          <w:p w14:paraId="2A84BEA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eastAsia"/>
                <w:strike w:val="0"/>
                <w:dstrike w:val="0"/>
                <w:color w:val="auto"/>
                <w:sz w:val="21"/>
                <w:szCs w:val="21"/>
                <w:vertAlign w:val="baseline"/>
                <w:lang w:val="en-US" w:eastAsia="zh-CN"/>
              </w:rPr>
              <w:t>资格证</w:t>
            </w:r>
          </w:p>
        </w:tc>
        <w:tc>
          <w:tcPr>
            <w:tcW w:w="3631" w:type="pct"/>
            <w:gridSpan w:val="6"/>
            <w:vAlign w:val="center"/>
          </w:tcPr>
          <w:p w14:paraId="69D060E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eastAsia" w:ascii="Times New Roman" w:eastAsia="宋体"/>
                <w:strike w:val="0"/>
                <w:dstrike w:val="0"/>
                <w:color w:val="auto"/>
                <w:sz w:val="21"/>
                <w:szCs w:val="21"/>
                <w:vertAlign w:val="baseline"/>
                <w:lang w:val="en-US" w:eastAsia="zh-CN"/>
              </w:rPr>
              <w:t>A08043000000000617（矿山工程）</w:t>
            </w:r>
          </w:p>
        </w:tc>
      </w:tr>
      <w:tr w14:paraId="4011D3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7" w:type="pct"/>
            <w:vAlign w:val="center"/>
          </w:tcPr>
          <w:p w14:paraId="7777E4A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eastAsia="宋体"/>
                <w:strike w:val="0"/>
                <w:dstrike w:val="0"/>
                <w:color w:val="auto"/>
                <w:sz w:val="21"/>
                <w:szCs w:val="21"/>
                <w:vertAlign w:val="baseline"/>
                <w:lang w:val="en-US" w:eastAsia="zh-CN"/>
              </w:rPr>
            </w:pPr>
            <w:r>
              <w:rPr>
                <w:rFonts w:hint="eastAsia" w:ascii="Times New Roman" w:eastAsia="宋体"/>
                <w:strike w:val="0"/>
                <w:dstrike w:val="0"/>
                <w:color w:val="auto"/>
                <w:sz w:val="21"/>
                <w:szCs w:val="21"/>
                <w:vertAlign w:val="baseline"/>
                <w:lang w:val="en-US" w:eastAsia="zh-CN"/>
              </w:rPr>
              <w:t>专业技术人员</w:t>
            </w:r>
          </w:p>
        </w:tc>
        <w:tc>
          <w:tcPr>
            <w:tcW w:w="440" w:type="pct"/>
            <w:vAlign w:val="center"/>
          </w:tcPr>
          <w:p w14:paraId="06ED604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eastAsia"/>
                <w:strike w:val="0"/>
                <w:dstrike w:val="0"/>
                <w:color w:val="auto"/>
                <w:sz w:val="21"/>
                <w:szCs w:val="21"/>
                <w:vertAlign w:val="baseline"/>
                <w:lang w:val="en-US" w:eastAsia="zh-CN"/>
              </w:rPr>
              <w:t>唐贵华</w:t>
            </w:r>
          </w:p>
        </w:tc>
        <w:tc>
          <w:tcPr>
            <w:tcW w:w="351" w:type="pct"/>
            <w:vAlign w:val="center"/>
          </w:tcPr>
          <w:p w14:paraId="6971D43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default"/>
                <w:strike w:val="0"/>
                <w:dstrike w:val="0"/>
                <w:color w:val="auto"/>
                <w:sz w:val="21"/>
                <w:szCs w:val="21"/>
                <w:vertAlign w:val="baseline"/>
                <w:lang w:val="en-US" w:eastAsia="zh-CN"/>
              </w:rPr>
              <w:t>证</w:t>
            </w:r>
            <w:r>
              <w:rPr>
                <w:rFonts w:hint="eastAsia" w:ascii="Times New Roman" w:eastAsia="宋体"/>
                <w:strike w:val="0"/>
                <w:dstrike w:val="0"/>
                <w:color w:val="auto"/>
                <w:sz w:val="21"/>
                <w:szCs w:val="21"/>
                <w:vertAlign w:val="baseline"/>
                <w:lang w:val="en-US" w:eastAsia="zh-CN"/>
              </w:rPr>
              <w:t>书编</w:t>
            </w:r>
            <w:r>
              <w:rPr>
                <w:rFonts w:hint="default"/>
                <w:strike w:val="0"/>
                <w:dstrike w:val="0"/>
                <w:color w:val="auto"/>
                <w:sz w:val="21"/>
                <w:szCs w:val="21"/>
                <w:vertAlign w:val="baseline"/>
                <w:lang w:val="en-US" w:eastAsia="zh-CN"/>
              </w:rPr>
              <w:t>号</w:t>
            </w:r>
          </w:p>
        </w:tc>
        <w:tc>
          <w:tcPr>
            <w:tcW w:w="3631" w:type="pct"/>
            <w:gridSpan w:val="6"/>
            <w:vAlign w:val="center"/>
          </w:tcPr>
          <w:p w14:paraId="252F752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eastAsia="宋体"/>
                <w:strike w:val="0"/>
                <w:dstrike w:val="0"/>
                <w:color w:val="auto"/>
                <w:sz w:val="21"/>
                <w:szCs w:val="21"/>
                <w:vertAlign w:val="baseline"/>
                <w:lang w:val="en-US" w:eastAsia="zh-CN"/>
              </w:rPr>
            </w:pPr>
            <w:r>
              <w:rPr>
                <w:rFonts w:hint="eastAsia" w:ascii="Times New Roman" w:eastAsia="宋体"/>
                <w:strike w:val="0"/>
                <w:dstrike w:val="0"/>
                <w:color w:val="auto"/>
                <w:sz w:val="21"/>
                <w:szCs w:val="21"/>
                <w:vertAlign w:val="baseline"/>
                <w:lang w:val="en-US" w:eastAsia="zh-CN"/>
              </w:rPr>
              <w:t>129341200906000295（工程测量与监理）</w:t>
            </w:r>
          </w:p>
        </w:tc>
      </w:tr>
      <w:tr w14:paraId="159BDB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577" w:type="pct"/>
            <w:vAlign w:val="center"/>
          </w:tcPr>
          <w:p w14:paraId="7485D5E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eastAsia="宋体"/>
                <w:strike w:val="0"/>
                <w:dstrike w:val="0"/>
                <w:color w:val="auto"/>
                <w:sz w:val="21"/>
                <w:szCs w:val="21"/>
                <w:vertAlign w:val="baseline"/>
                <w:lang w:val="en-US" w:eastAsia="zh-CN"/>
              </w:rPr>
            </w:pPr>
            <w:r>
              <w:rPr>
                <w:rFonts w:hint="eastAsia" w:ascii="Times New Roman" w:eastAsia="宋体"/>
                <w:strike w:val="0"/>
                <w:dstrike w:val="0"/>
                <w:color w:val="auto"/>
                <w:sz w:val="21"/>
                <w:szCs w:val="21"/>
                <w:vertAlign w:val="baseline"/>
                <w:lang w:val="en-US" w:eastAsia="zh-CN"/>
              </w:rPr>
              <w:t>专业技术人员</w:t>
            </w:r>
          </w:p>
        </w:tc>
        <w:tc>
          <w:tcPr>
            <w:tcW w:w="440" w:type="pct"/>
            <w:vAlign w:val="center"/>
          </w:tcPr>
          <w:p w14:paraId="7A3DAC0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eastAsia"/>
                <w:strike w:val="0"/>
                <w:dstrike w:val="0"/>
                <w:color w:val="auto"/>
                <w:sz w:val="21"/>
                <w:szCs w:val="21"/>
                <w:vertAlign w:val="baseline"/>
                <w:lang w:val="en-US" w:eastAsia="zh-CN"/>
              </w:rPr>
              <w:t>廖文彬</w:t>
            </w:r>
          </w:p>
        </w:tc>
        <w:tc>
          <w:tcPr>
            <w:tcW w:w="351" w:type="pct"/>
            <w:vAlign w:val="center"/>
          </w:tcPr>
          <w:p w14:paraId="5996EF2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default"/>
                <w:strike w:val="0"/>
                <w:dstrike w:val="0"/>
                <w:color w:val="auto"/>
                <w:sz w:val="21"/>
                <w:szCs w:val="21"/>
                <w:vertAlign w:val="baseline"/>
                <w:lang w:val="en-US" w:eastAsia="zh-CN"/>
              </w:rPr>
              <w:t>证</w:t>
            </w:r>
            <w:r>
              <w:rPr>
                <w:rFonts w:hint="eastAsia" w:ascii="Times New Roman" w:eastAsia="宋体"/>
                <w:strike w:val="0"/>
                <w:dstrike w:val="0"/>
                <w:color w:val="auto"/>
                <w:sz w:val="21"/>
                <w:szCs w:val="21"/>
                <w:vertAlign w:val="baseline"/>
                <w:lang w:val="en-US" w:eastAsia="zh-CN"/>
              </w:rPr>
              <w:t>书编</w:t>
            </w:r>
            <w:r>
              <w:rPr>
                <w:rFonts w:hint="default"/>
                <w:strike w:val="0"/>
                <w:dstrike w:val="0"/>
                <w:color w:val="auto"/>
                <w:sz w:val="21"/>
                <w:szCs w:val="21"/>
                <w:vertAlign w:val="baseline"/>
                <w:lang w:val="en-US" w:eastAsia="zh-CN"/>
              </w:rPr>
              <w:t>号</w:t>
            </w:r>
          </w:p>
        </w:tc>
        <w:tc>
          <w:tcPr>
            <w:tcW w:w="3631" w:type="pct"/>
            <w:gridSpan w:val="6"/>
            <w:vAlign w:val="center"/>
          </w:tcPr>
          <w:p w14:paraId="31A13F3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eastAsia="宋体"/>
                <w:strike w:val="0"/>
                <w:dstrike w:val="0"/>
                <w:color w:val="auto"/>
                <w:sz w:val="21"/>
                <w:szCs w:val="21"/>
                <w:vertAlign w:val="baseline"/>
                <w:lang w:val="en-US" w:eastAsia="zh-CN"/>
              </w:rPr>
            </w:pPr>
            <w:r>
              <w:rPr>
                <w:rFonts w:hint="eastAsia" w:ascii="Times New Roman" w:eastAsia="宋体"/>
                <w:strike w:val="0"/>
                <w:dstrike w:val="0"/>
                <w:color w:val="auto"/>
                <w:sz w:val="21"/>
                <w:szCs w:val="21"/>
                <w:vertAlign w:val="baseline"/>
                <w:lang w:val="en-US" w:eastAsia="zh-CN"/>
              </w:rPr>
              <w:t>4415632018402030960（电气自动化设备安装与维修）</w:t>
            </w:r>
          </w:p>
        </w:tc>
      </w:tr>
      <w:tr w14:paraId="2263B9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7" w:type="pct"/>
            <w:vAlign w:val="center"/>
          </w:tcPr>
          <w:p w14:paraId="5746E88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eastAsia="宋体"/>
                <w:strike w:val="0"/>
                <w:dstrike w:val="0"/>
                <w:color w:val="auto"/>
                <w:sz w:val="21"/>
                <w:szCs w:val="21"/>
                <w:vertAlign w:val="baseline"/>
                <w:lang w:val="en-US" w:eastAsia="zh-CN"/>
              </w:rPr>
            </w:pPr>
            <w:r>
              <w:rPr>
                <w:rFonts w:hint="eastAsia" w:ascii="Times New Roman" w:eastAsia="宋体"/>
                <w:strike w:val="0"/>
                <w:dstrike w:val="0"/>
                <w:color w:val="auto"/>
                <w:sz w:val="21"/>
                <w:szCs w:val="21"/>
                <w:vertAlign w:val="baseline"/>
                <w:lang w:val="en-US" w:eastAsia="zh-CN"/>
              </w:rPr>
              <w:t>专业技术人员</w:t>
            </w:r>
          </w:p>
        </w:tc>
        <w:tc>
          <w:tcPr>
            <w:tcW w:w="440" w:type="pct"/>
            <w:vAlign w:val="center"/>
          </w:tcPr>
          <w:p w14:paraId="34C7DB8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eastAsia"/>
                <w:strike w:val="0"/>
                <w:dstrike w:val="0"/>
                <w:color w:val="auto"/>
                <w:sz w:val="21"/>
                <w:szCs w:val="21"/>
                <w:vertAlign w:val="baseline"/>
                <w:lang w:val="en-US" w:eastAsia="zh-CN"/>
              </w:rPr>
              <w:t>曾伟清</w:t>
            </w:r>
          </w:p>
        </w:tc>
        <w:tc>
          <w:tcPr>
            <w:tcW w:w="351" w:type="pct"/>
            <w:vAlign w:val="center"/>
          </w:tcPr>
          <w:p w14:paraId="0F4EA4A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default"/>
                <w:strike w:val="0"/>
                <w:dstrike w:val="0"/>
                <w:color w:val="auto"/>
                <w:sz w:val="21"/>
                <w:szCs w:val="21"/>
                <w:vertAlign w:val="baseline"/>
                <w:lang w:val="en-US" w:eastAsia="zh-CN"/>
              </w:rPr>
              <w:t>证</w:t>
            </w:r>
            <w:r>
              <w:rPr>
                <w:rFonts w:hint="eastAsia" w:ascii="Times New Roman" w:eastAsia="宋体"/>
                <w:strike w:val="0"/>
                <w:dstrike w:val="0"/>
                <w:color w:val="auto"/>
                <w:sz w:val="21"/>
                <w:szCs w:val="21"/>
                <w:vertAlign w:val="baseline"/>
                <w:lang w:val="en-US" w:eastAsia="zh-CN"/>
              </w:rPr>
              <w:t>书编</w:t>
            </w:r>
            <w:r>
              <w:rPr>
                <w:rFonts w:hint="default"/>
                <w:strike w:val="0"/>
                <w:dstrike w:val="0"/>
                <w:color w:val="auto"/>
                <w:sz w:val="21"/>
                <w:szCs w:val="21"/>
                <w:vertAlign w:val="baseline"/>
                <w:lang w:val="en-US" w:eastAsia="zh-CN"/>
              </w:rPr>
              <w:t>号</w:t>
            </w:r>
          </w:p>
        </w:tc>
        <w:tc>
          <w:tcPr>
            <w:tcW w:w="3631" w:type="pct"/>
            <w:gridSpan w:val="6"/>
            <w:vAlign w:val="center"/>
          </w:tcPr>
          <w:p w14:paraId="2170C6B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eastAsia="宋体"/>
                <w:strike w:val="0"/>
                <w:dstrike w:val="0"/>
                <w:color w:val="auto"/>
                <w:sz w:val="21"/>
                <w:szCs w:val="21"/>
                <w:vertAlign w:val="baseline"/>
                <w:lang w:val="en-US" w:eastAsia="zh-CN"/>
              </w:rPr>
            </w:pPr>
            <w:r>
              <w:rPr>
                <w:rFonts w:hint="eastAsia" w:ascii="Times New Roman" w:eastAsia="宋体"/>
                <w:strike w:val="0"/>
                <w:dstrike w:val="0"/>
                <w:color w:val="auto"/>
                <w:sz w:val="21"/>
                <w:szCs w:val="21"/>
                <w:vertAlign w:val="baseline"/>
                <w:lang w:val="en-US" w:eastAsia="zh-CN"/>
              </w:rPr>
              <w:t>27930615（电气工程与家用电器）</w:t>
            </w:r>
          </w:p>
        </w:tc>
      </w:tr>
      <w:tr w14:paraId="3ABD85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7" w:type="pct"/>
            <w:vAlign w:val="center"/>
          </w:tcPr>
          <w:p w14:paraId="3F94273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eastAsia" w:ascii="Times New Roman" w:eastAsia="宋体"/>
                <w:strike w:val="0"/>
                <w:dstrike w:val="0"/>
                <w:color w:val="auto"/>
                <w:sz w:val="21"/>
                <w:szCs w:val="21"/>
                <w:vertAlign w:val="baseline"/>
                <w:lang w:val="en-US" w:eastAsia="zh-CN"/>
              </w:rPr>
              <w:t>注册安全工程师</w:t>
            </w:r>
          </w:p>
        </w:tc>
        <w:tc>
          <w:tcPr>
            <w:tcW w:w="440" w:type="pct"/>
            <w:vAlign w:val="center"/>
          </w:tcPr>
          <w:p w14:paraId="26E1D3C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eastAsia" w:ascii="Times New Roman" w:eastAsia="宋体"/>
                <w:strike w:val="0"/>
                <w:dstrike w:val="0"/>
                <w:color w:val="auto"/>
                <w:sz w:val="21"/>
                <w:szCs w:val="21"/>
                <w:vertAlign w:val="baseline"/>
                <w:lang w:val="en-US" w:eastAsia="zh-CN"/>
              </w:rPr>
              <w:t>李金祥</w:t>
            </w:r>
          </w:p>
        </w:tc>
        <w:tc>
          <w:tcPr>
            <w:tcW w:w="351" w:type="pct"/>
            <w:vAlign w:val="center"/>
          </w:tcPr>
          <w:p w14:paraId="59A15B9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default"/>
                <w:strike w:val="0"/>
                <w:dstrike w:val="0"/>
                <w:color w:val="auto"/>
                <w:sz w:val="21"/>
                <w:szCs w:val="21"/>
                <w:vertAlign w:val="baseline"/>
                <w:lang w:val="en-US" w:eastAsia="zh-CN"/>
              </w:rPr>
              <w:t>证</w:t>
            </w:r>
            <w:r>
              <w:rPr>
                <w:rFonts w:hint="eastAsia" w:ascii="Times New Roman" w:eastAsia="宋体"/>
                <w:strike w:val="0"/>
                <w:dstrike w:val="0"/>
                <w:color w:val="auto"/>
                <w:sz w:val="21"/>
                <w:szCs w:val="21"/>
                <w:vertAlign w:val="baseline"/>
                <w:lang w:val="en-US" w:eastAsia="zh-CN"/>
              </w:rPr>
              <w:t>书编</w:t>
            </w:r>
            <w:r>
              <w:rPr>
                <w:rFonts w:hint="default"/>
                <w:strike w:val="0"/>
                <w:dstrike w:val="0"/>
                <w:color w:val="auto"/>
                <w:sz w:val="21"/>
                <w:szCs w:val="21"/>
                <w:vertAlign w:val="baseline"/>
                <w:lang w:val="en-US" w:eastAsia="zh-CN"/>
              </w:rPr>
              <w:t>号</w:t>
            </w:r>
          </w:p>
        </w:tc>
        <w:tc>
          <w:tcPr>
            <w:tcW w:w="3631" w:type="pct"/>
            <w:gridSpan w:val="6"/>
            <w:vAlign w:val="center"/>
          </w:tcPr>
          <w:p w14:paraId="5A05BEF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strike w:val="0"/>
                <w:dstrike w:val="0"/>
                <w:color w:val="auto"/>
                <w:sz w:val="21"/>
                <w:szCs w:val="21"/>
                <w:vertAlign w:val="baseline"/>
                <w:lang w:val="en-US" w:eastAsia="zh-CN"/>
              </w:rPr>
            </w:pPr>
            <w:r>
              <w:rPr>
                <w:rFonts w:hint="eastAsia" w:ascii="Times New Roman" w:eastAsia="宋体"/>
                <w:strike w:val="0"/>
                <w:dstrike w:val="0"/>
                <w:color w:val="auto"/>
                <w:sz w:val="21"/>
                <w:szCs w:val="21"/>
                <w:vertAlign w:val="baseline"/>
                <w:lang w:val="en-US" w:eastAsia="zh-CN"/>
              </w:rPr>
              <w:t>AG 00235549（金属非金属矿山安全）</w:t>
            </w:r>
          </w:p>
        </w:tc>
      </w:tr>
      <w:tr w14:paraId="041158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577" w:type="pct"/>
            <w:vAlign w:val="center"/>
          </w:tcPr>
          <w:p w14:paraId="6BC2B99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eastAsia" w:ascii="Times New Roman" w:eastAsia="宋体"/>
                <w:strike w:val="0"/>
                <w:dstrike w:val="0"/>
                <w:color w:val="auto"/>
                <w:sz w:val="21"/>
                <w:szCs w:val="21"/>
                <w:vertAlign w:val="baseline"/>
                <w:lang w:val="en-US" w:eastAsia="zh-CN"/>
              </w:rPr>
              <w:t>特种作业人员</w:t>
            </w:r>
          </w:p>
        </w:tc>
        <w:tc>
          <w:tcPr>
            <w:tcW w:w="440" w:type="pct"/>
            <w:vAlign w:val="center"/>
          </w:tcPr>
          <w:p w14:paraId="3C5F1CA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eastAsia"/>
                <w:strike w:val="0"/>
                <w:dstrike w:val="0"/>
                <w:color w:val="auto"/>
                <w:sz w:val="21"/>
                <w:szCs w:val="21"/>
                <w:vertAlign w:val="baseline"/>
                <w:lang w:val="en-US" w:eastAsia="zh-CN"/>
              </w:rPr>
              <w:t>闫勇</w:t>
            </w:r>
          </w:p>
        </w:tc>
        <w:tc>
          <w:tcPr>
            <w:tcW w:w="351" w:type="pct"/>
            <w:vAlign w:val="center"/>
          </w:tcPr>
          <w:p w14:paraId="0B64084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default"/>
                <w:strike w:val="0"/>
                <w:dstrike w:val="0"/>
                <w:color w:val="auto"/>
                <w:sz w:val="21"/>
                <w:szCs w:val="21"/>
                <w:vertAlign w:val="baseline"/>
                <w:lang w:val="en-US" w:eastAsia="zh-CN"/>
              </w:rPr>
              <w:t>证号</w:t>
            </w:r>
          </w:p>
        </w:tc>
        <w:tc>
          <w:tcPr>
            <w:tcW w:w="1171" w:type="pct"/>
            <w:vAlign w:val="center"/>
          </w:tcPr>
          <w:p w14:paraId="36B0CD0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default"/>
                <w:strike w:val="0"/>
                <w:dstrike w:val="0"/>
                <w:color w:val="auto"/>
                <w:sz w:val="21"/>
                <w:szCs w:val="21"/>
                <w:vertAlign w:val="baseline"/>
                <w:lang w:val="en-US" w:eastAsia="zh-CN"/>
              </w:rPr>
              <w:t>T422431197001298434</w:t>
            </w:r>
          </w:p>
        </w:tc>
        <w:tc>
          <w:tcPr>
            <w:tcW w:w="374" w:type="pct"/>
            <w:vAlign w:val="center"/>
          </w:tcPr>
          <w:p w14:paraId="0E74819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eastAsia="宋体"/>
                <w:strike w:val="0"/>
                <w:dstrike w:val="0"/>
                <w:color w:val="auto"/>
                <w:sz w:val="21"/>
                <w:szCs w:val="21"/>
                <w:vertAlign w:val="baseline"/>
                <w:lang w:val="en-US" w:eastAsia="zh-CN"/>
              </w:rPr>
            </w:pPr>
            <w:r>
              <w:rPr>
                <w:rFonts w:hint="eastAsia" w:ascii="Times New Roman" w:eastAsia="宋体"/>
                <w:strike w:val="0"/>
                <w:dstrike w:val="0"/>
                <w:color w:val="auto"/>
                <w:sz w:val="21"/>
                <w:szCs w:val="21"/>
                <w:vertAlign w:val="baseline"/>
                <w:lang w:val="en-US" w:eastAsia="zh-CN"/>
              </w:rPr>
              <w:t>操作项目</w:t>
            </w:r>
          </w:p>
        </w:tc>
        <w:tc>
          <w:tcPr>
            <w:tcW w:w="921" w:type="pct"/>
            <w:gridSpan w:val="2"/>
            <w:vAlign w:val="center"/>
          </w:tcPr>
          <w:p w14:paraId="19252A1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eastAsia="宋体"/>
                <w:strike w:val="0"/>
                <w:dstrike w:val="0"/>
                <w:color w:val="auto"/>
                <w:sz w:val="21"/>
                <w:szCs w:val="21"/>
                <w:vertAlign w:val="baseline"/>
                <w:lang w:val="en-US" w:eastAsia="zh-CN"/>
              </w:rPr>
            </w:pPr>
            <w:r>
              <w:rPr>
                <w:rFonts w:hint="eastAsia" w:ascii="Times New Roman" w:eastAsia="宋体"/>
                <w:strike w:val="0"/>
                <w:dstrike w:val="0"/>
                <w:color w:val="auto"/>
                <w:sz w:val="21"/>
                <w:szCs w:val="21"/>
                <w:vertAlign w:val="baseline"/>
                <w:lang w:val="en-US" w:eastAsia="zh-CN"/>
              </w:rPr>
              <w:t>熔化焊接与热切割作业</w:t>
            </w:r>
          </w:p>
        </w:tc>
        <w:tc>
          <w:tcPr>
            <w:tcW w:w="369" w:type="pct"/>
            <w:vAlign w:val="center"/>
          </w:tcPr>
          <w:p w14:paraId="5622F16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eastAsia" w:ascii="Times New Roman" w:eastAsia="宋体"/>
                <w:strike w:val="0"/>
                <w:dstrike w:val="0"/>
                <w:color w:val="auto"/>
                <w:sz w:val="21"/>
                <w:szCs w:val="21"/>
                <w:vertAlign w:val="baseline"/>
                <w:lang w:val="en-US" w:eastAsia="zh-CN"/>
              </w:rPr>
              <w:t>有效期</w:t>
            </w:r>
          </w:p>
        </w:tc>
        <w:tc>
          <w:tcPr>
            <w:tcW w:w="793" w:type="pct"/>
            <w:vAlign w:val="center"/>
          </w:tcPr>
          <w:p w14:paraId="5BB5392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eastAsia" w:ascii="Times New Roman" w:eastAsia="宋体"/>
                <w:strike w:val="0"/>
                <w:dstrike w:val="0"/>
                <w:color w:val="auto"/>
                <w:sz w:val="21"/>
                <w:szCs w:val="21"/>
                <w:vertAlign w:val="baseline"/>
                <w:lang w:val="en-US" w:eastAsia="zh-CN"/>
              </w:rPr>
              <w:t>2021-11-16—2027-11-15</w:t>
            </w:r>
          </w:p>
        </w:tc>
      </w:tr>
      <w:tr w14:paraId="73E5B8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577" w:type="pct"/>
            <w:vAlign w:val="center"/>
          </w:tcPr>
          <w:p w14:paraId="3E522F6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strike w:val="0"/>
                <w:dstrike w:val="0"/>
                <w:color w:val="auto"/>
                <w:sz w:val="21"/>
                <w:szCs w:val="21"/>
                <w:vertAlign w:val="baseline"/>
                <w:lang w:val="en-US" w:eastAsia="zh-CN"/>
              </w:rPr>
            </w:pPr>
            <w:r>
              <w:rPr>
                <w:rFonts w:hint="eastAsia" w:ascii="Times New Roman" w:eastAsia="宋体"/>
                <w:strike w:val="0"/>
                <w:dstrike w:val="0"/>
                <w:color w:val="auto"/>
                <w:sz w:val="21"/>
                <w:szCs w:val="21"/>
                <w:vertAlign w:val="baseline"/>
                <w:lang w:val="en-US" w:eastAsia="zh-CN"/>
              </w:rPr>
              <w:t>特种作业人员</w:t>
            </w:r>
          </w:p>
        </w:tc>
        <w:tc>
          <w:tcPr>
            <w:tcW w:w="440" w:type="pct"/>
            <w:vAlign w:val="center"/>
          </w:tcPr>
          <w:p w14:paraId="1E5393A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eastAsia" w:ascii="Times New Roman" w:eastAsia="宋体"/>
                <w:strike w:val="0"/>
                <w:dstrike w:val="0"/>
                <w:color w:val="auto"/>
                <w:sz w:val="21"/>
                <w:szCs w:val="21"/>
                <w:vertAlign w:val="baseline"/>
                <w:lang w:val="en-US" w:eastAsia="zh-CN"/>
              </w:rPr>
              <w:t>陈林</w:t>
            </w:r>
          </w:p>
        </w:tc>
        <w:tc>
          <w:tcPr>
            <w:tcW w:w="351" w:type="pct"/>
            <w:vAlign w:val="center"/>
          </w:tcPr>
          <w:p w14:paraId="67535FD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default"/>
                <w:strike w:val="0"/>
                <w:dstrike w:val="0"/>
                <w:color w:val="auto"/>
                <w:sz w:val="21"/>
                <w:szCs w:val="21"/>
                <w:vertAlign w:val="baseline"/>
                <w:lang w:val="en-US" w:eastAsia="zh-CN"/>
              </w:rPr>
              <w:t>证号</w:t>
            </w:r>
          </w:p>
        </w:tc>
        <w:tc>
          <w:tcPr>
            <w:tcW w:w="1171" w:type="pct"/>
            <w:vAlign w:val="center"/>
          </w:tcPr>
          <w:p w14:paraId="36FFE74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default"/>
                <w:strike w:val="0"/>
                <w:dstrike w:val="0"/>
                <w:color w:val="auto"/>
                <w:sz w:val="21"/>
                <w:szCs w:val="21"/>
                <w:vertAlign w:val="baseline"/>
                <w:lang w:val="en-US" w:eastAsia="zh-CN"/>
              </w:rPr>
              <w:t>T360481197710314033</w:t>
            </w:r>
          </w:p>
        </w:tc>
        <w:tc>
          <w:tcPr>
            <w:tcW w:w="374" w:type="pct"/>
            <w:vAlign w:val="center"/>
          </w:tcPr>
          <w:p w14:paraId="6126318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eastAsia="宋体"/>
                <w:strike w:val="0"/>
                <w:dstrike w:val="0"/>
                <w:color w:val="auto"/>
                <w:sz w:val="21"/>
                <w:szCs w:val="21"/>
                <w:vertAlign w:val="baseline"/>
                <w:lang w:val="en-US" w:eastAsia="zh-CN"/>
              </w:rPr>
            </w:pPr>
            <w:r>
              <w:rPr>
                <w:rFonts w:hint="eastAsia" w:ascii="Times New Roman" w:eastAsia="宋体"/>
                <w:strike w:val="0"/>
                <w:dstrike w:val="0"/>
                <w:color w:val="auto"/>
                <w:sz w:val="21"/>
                <w:szCs w:val="21"/>
                <w:vertAlign w:val="baseline"/>
                <w:lang w:val="en-US" w:eastAsia="zh-CN"/>
              </w:rPr>
              <w:t>操作项目</w:t>
            </w:r>
          </w:p>
        </w:tc>
        <w:tc>
          <w:tcPr>
            <w:tcW w:w="921" w:type="pct"/>
            <w:gridSpan w:val="2"/>
            <w:vAlign w:val="center"/>
          </w:tcPr>
          <w:p w14:paraId="75AE677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eastAsia="宋体"/>
                <w:strike w:val="0"/>
                <w:dstrike w:val="0"/>
                <w:color w:val="auto"/>
                <w:sz w:val="21"/>
                <w:szCs w:val="21"/>
                <w:vertAlign w:val="baseline"/>
                <w:lang w:val="en-US" w:eastAsia="zh-CN"/>
              </w:rPr>
            </w:pPr>
            <w:r>
              <w:rPr>
                <w:rFonts w:hint="eastAsia" w:ascii="Times New Roman" w:eastAsia="宋体"/>
                <w:strike w:val="0"/>
                <w:dstrike w:val="0"/>
                <w:color w:val="auto"/>
                <w:sz w:val="21"/>
                <w:szCs w:val="21"/>
                <w:vertAlign w:val="baseline"/>
                <w:lang w:val="en-US" w:eastAsia="zh-CN"/>
              </w:rPr>
              <w:t>熔化焊接与热切割作业</w:t>
            </w:r>
          </w:p>
        </w:tc>
        <w:tc>
          <w:tcPr>
            <w:tcW w:w="369" w:type="pct"/>
            <w:vAlign w:val="center"/>
          </w:tcPr>
          <w:p w14:paraId="1A22759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eastAsia" w:ascii="Times New Roman" w:eastAsia="宋体"/>
                <w:strike w:val="0"/>
                <w:dstrike w:val="0"/>
                <w:color w:val="auto"/>
                <w:sz w:val="21"/>
                <w:szCs w:val="21"/>
                <w:vertAlign w:val="baseline"/>
                <w:lang w:val="en-US" w:eastAsia="zh-CN"/>
              </w:rPr>
              <w:t>有效期</w:t>
            </w:r>
          </w:p>
        </w:tc>
        <w:tc>
          <w:tcPr>
            <w:tcW w:w="793" w:type="pct"/>
            <w:vAlign w:val="center"/>
          </w:tcPr>
          <w:p w14:paraId="3B28BAF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eastAsia" w:ascii="Times New Roman" w:eastAsia="宋体"/>
                <w:strike w:val="0"/>
                <w:dstrike w:val="0"/>
                <w:color w:val="auto"/>
                <w:sz w:val="21"/>
                <w:szCs w:val="21"/>
                <w:vertAlign w:val="baseline"/>
                <w:lang w:val="en-US" w:eastAsia="zh-CN"/>
              </w:rPr>
              <w:t>2021-11-16—2027-11-15</w:t>
            </w:r>
          </w:p>
        </w:tc>
      </w:tr>
      <w:tr w14:paraId="6BD0B3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577" w:type="pct"/>
            <w:vAlign w:val="center"/>
          </w:tcPr>
          <w:p w14:paraId="69A9A3F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strike w:val="0"/>
                <w:dstrike w:val="0"/>
                <w:color w:val="auto"/>
                <w:sz w:val="21"/>
                <w:szCs w:val="21"/>
                <w:vertAlign w:val="baseline"/>
                <w:lang w:val="en-US" w:eastAsia="zh-CN"/>
              </w:rPr>
            </w:pPr>
            <w:r>
              <w:rPr>
                <w:rFonts w:hint="eastAsia" w:ascii="Times New Roman" w:eastAsia="宋体"/>
                <w:strike w:val="0"/>
                <w:dstrike w:val="0"/>
                <w:color w:val="auto"/>
                <w:sz w:val="21"/>
                <w:szCs w:val="21"/>
                <w:vertAlign w:val="baseline"/>
                <w:lang w:val="en-US" w:eastAsia="zh-CN"/>
              </w:rPr>
              <w:t>特种作业人员</w:t>
            </w:r>
          </w:p>
        </w:tc>
        <w:tc>
          <w:tcPr>
            <w:tcW w:w="440" w:type="pct"/>
            <w:vAlign w:val="center"/>
          </w:tcPr>
          <w:p w14:paraId="44AB415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eastAsia" w:ascii="Times New Roman" w:eastAsia="宋体"/>
                <w:strike w:val="0"/>
                <w:dstrike w:val="0"/>
                <w:color w:val="auto"/>
                <w:sz w:val="21"/>
                <w:szCs w:val="21"/>
                <w:vertAlign w:val="baseline"/>
                <w:lang w:val="en-US" w:eastAsia="zh-CN"/>
              </w:rPr>
              <w:t>廖文彬</w:t>
            </w:r>
          </w:p>
        </w:tc>
        <w:tc>
          <w:tcPr>
            <w:tcW w:w="351" w:type="pct"/>
            <w:vAlign w:val="center"/>
          </w:tcPr>
          <w:p w14:paraId="31A6882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default"/>
                <w:strike w:val="0"/>
                <w:dstrike w:val="0"/>
                <w:color w:val="auto"/>
                <w:sz w:val="21"/>
                <w:szCs w:val="21"/>
                <w:vertAlign w:val="baseline"/>
                <w:lang w:val="en-US" w:eastAsia="zh-CN"/>
              </w:rPr>
              <w:t>证号</w:t>
            </w:r>
          </w:p>
        </w:tc>
        <w:tc>
          <w:tcPr>
            <w:tcW w:w="1171" w:type="pct"/>
            <w:vAlign w:val="center"/>
          </w:tcPr>
          <w:p w14:paraId="5A1690E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default"/>
                <w:strike w:val="0"/>
                <w:dstrike w:val="0"/>
                <w:color w:val="auto"/>
                <w:sz w:val="21"/>
                <w:szCs w:val="21"/>
                <w:vertAlign w:val="baseline"/>
                <w:lang w:val="en-US" w:eastAsia="zh-CN"/>
              </w:rPr>
              <w:t>T441424199904125794</w:t>
            </w:r>
          </w:p>
        </w:tc>
        <w:tc>
          <w:tcPr>
            <w:tcW w:w="374" w:type="pct"/>
            <w:vAlign w:val="center"/>
          </w:tcPr>
          <w:p w14:paraId="0A207CD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eastAsia="宋体"/>
                <w:strike w:val="0"/>
                <w:dstrike w:val="0"/>
                <w:color w:val="auto"/>
                <w:sz w:val="21"/>
                <w:szCs w:val="21"/>
                <w:vertAlign w:val="baseline"/>
                <w:lang w:val="en-US" w:eastAsia="zh-CN"/>
              </w:rPr>
            </w:pPr>
            <w:r>
              <w:rPr>
                <w:rFonts w:hint="eastAsia" w:ascii="Times New Roman" w:eastAsia="宋体"/>
                <w:strike w:val="0"/>
                <w:dstrike w:val="0"/>
                <w:color w:val="auto"/>
                <w:sz w:val="21"/>
                <w:szCs w:val="21"/>
                <w:vertAlign w:val="baseline"/>
                <w:lang w:val="en-US" w:eastAsia="zh-CN"/>
              </w:rPr>
              <w:t>操作项目</w:t>
            </w:r>
          </w:p>
        </w:tc>
        <w:tc>
          <w:tcPr>
            <w:tcW w:w="921" w:type="pct"/>
            <w:gridSpan w:val="2"/>
            <w:vAlign w:val="center"/>
          </w:tcPr>
          <w:p w14:paraId="4A184D4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eastAsia="宋体"/>
                <w:strike w:val="0"/>
                <w:dstrike w:val="0"/>
                <w:color w:val="auto"/>
                <w:sz w:val="21"/>
                <w:szCs w:val="21"/>
                <w:vertAlign w:val="baseline"/>
                <w:lang w:val="en-US" w:eastAsia="zh-CN"/>
              </w:rPr>
            </w:pPr>
            <w:r>
              <w:rPr>
                <w:rFonts w:hint="eastAsia" w:ascii="Times New Roman" w:eastAsia="宋体"/>
                <w:strike w:val="0"/>
                <w:dstrike w:val="0"/>
                <w:color w:val="auto"/>
                <w:sz w:val="21"/>
                <w:szCs w:val="21"/>
                <w:vertAlign w:val="baseline"/>
                <w:lang w:val="en-US" w:eastAsia="zh-CN"/>
              </w:rPr>
              <w:t>高压电工作业</w:t>
            </w:r>
          </w:p>
        </w:tc>
        <w:tc>
          <w:tcPr>
            <w:tcW w:w="369" w:type="pct"/>
            <w:vAlign w:val="center"/>
          </w:tcPr>
          <w:p w14:paraId="6A9730A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eastAsia" w:ascii="Times New Roman" w:eastAsia="宋体"/>
                <w:strike w:val="0"/>
                <w:dstrike w:val="0"/>
                <w:color w:val="auto"/>
                <w:sz w:val="21"/>
                <w:szCs w:val="21"/>
                <w:vertAlign w:val="baseline"/>
                <w:lang w:val="en-US" w:eastAsia="zh-CN"/>
              </w:rPr>
              <w:t>有效期</w:t>
            </w:r>
          </w:p>
        </w:tc>
        <w:tc>
          <w:tcPr>
            <w:tcW w:w="793" w:type="pct"/>
            <w:vAlign w:val="center"/>
          </w:tcPr>
          <w:p w14:paraId="5A0DDAA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eastAsia" w:ascii="Times New Roman" w:eastAsia="宋体"/>
                <w:strike w:val="0"/>
                <w:dstrike w:val="0"/>
                <w:color w:val="auto"/>
                <w:sz w:val="21"/>
                <w:szCs w:val="21"/>
                <w:vertAlign w:val="baseline"/>
                <w:lang w:val="en-US" w:eastAsia="zh-CN"/>
              </w:rPr>
              <w:t>2022-03-08—2028-03-07</w:t>
            </w:r>
          </w:p>
        </w:tc>
      </w:tr>
      <w:tr w14:paraId="7CBB39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577" w:type="pct"/>
            <w:vAlign w:val="center"/>
          </w:tcPr>
          <w:p w14:paraId="545146D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eastAsia="宋体"/>
                <w:strike w:val="0"/>
                <w:dstrike w:val="0"/>
                <w:color w:val="auto"/>
                <w:sz w:val="21"/>
                <w:szCs w:val="21"/>
                <w:vertAlign w:val="baseline"/>
                <w:lang w:val="en-US" w:eastAsia="zh-CN"/>
              </w:rPr>
            </w:pPr>
            <w:r>
              <w:rPr>
                <w:rFonts w:hint="eastAsia" w:ascii="Times New Roman" w:eastAsia="宋体"/>
                <w:strike w:val="0"/>
                <w:dstrike w:val="0"/>
                <w:color w:val="auto"/>
                <w:sz w:val="21"/>
                <w:szCs w:val="21"/>
                <w:vertAlign w:val="baseline"/>
                <w:lang w:val="en-US" w:eastAsia="zh-CN"/>
              </w:rPr>
              <w:t>特种作业人员</w:t>
            </w:r>
          </w:p>
        </w:tc>
        <w:tc>
          <w:tcPr>
            <w:tcW w:w="440" w:type="pct"/>
            <w:vAlign w:val="center"/>
          </w:tcPr>
          <w:p w14:paraId="6F34E7E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eastAsia="宋体"/>
                <w:strike w:val="0"/>
                <w:dstrike w:val="0"/>
                <w:color w:val="auto"/>
                <w:sz w:val="21"/>
                <w:szCs w:val="21"/>
                <w:vertAlign w:val="baseline"/>
                <w:lang w:val="en-US" w:eastAsia="zh-CN"/>
              </w:rPr>
            </w:pPr>
            <w:r>
              <w:rPr>
                <w:rFonts w:hint="eastAsia"/>
                <w:strike w:val="0"/>
                <w:dstrike w:val="0"/>
                <w:color w:val="auto"/>
                <w:sz w:val="21"/>
                <w:szCs w:val="21"/>
                <w:vertAlign w:val="baseline"/>
                <w:lang w:val="en-US" w:eastAsia="zh-CN"/>
              </w:rPr>
              <w:t>曾伟清</w:t>
            </w:r>
          </w:p>
        </w:tc>
        <w:tc>
          <w:tcPr>
            <w:tcW w:w="351" w:type="pct"/>
            <w:vAlign w:val="center"/>
          </w:tcPr>
          <w:p w14:paraId="548AC52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default"/>
                <w:strike w:val="0"/>
                <w:dstrike w:val="0"/>
                <w:color w:val="auto"/>
                <w:sz w:val="21"/>
                <w:szCs w:val="21"/>
                <w:vertAlign w:val="baseline"/>
                <w:lang w:val="en-US" w:eastAsia="zh-CN"/>
              </w:rPr>
              <w:t>证号</w:t>
            </w:r>
          </w:p>
        </w:tc>
        <w:tc>
          <w:tcPr>
            <w:tcW w:w="1171" w:type="pct"/>
            <w:vAlign w:val="center"/>
          </w:tcPr>
          <w:p w14:paraId="5FA500F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default"/>
                <w:strike w:val="0"/>
                <w:dstrike w:val="0"/>
                <w:color w:val="auto"/>
                <w:sz w:val="21"/>
                <w:szCs w:val="21"/>
                <w:vertAlign w:val="baseline"/>
                <w:lang w:val="en-US" w:eastAsia="zh-CN"/>
              </w:rPr>
              <w:t>T441427196609070618</w:t>
            </w:r>
          </w:p>
        </w:tc>
        <w:tc>
          <w:tcPr>
            <w:tcW w:w="374" w:type="pct"/>
            <w:vAlign w:val="center"/>
          </w:tcPr>
          <w:p w14:paraId="144ACDC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eastAsia="宋体"/>
                <w:strike w:val="0"/>
                <w:dstrike w:val="0"/>
                <w:color w:val="auto"/>
                <w:sz w:val="21"/>
                <w:szCs w:val="21"/>
                <w:vertAlign w:val="baseline"/>
                <w:lang w:val="en-US" w:eastAsia="zh-CN"/>
              </w:rPr>
            </w:pPr>
            <w:r>
              <w:rPr>
                <w:rFonts w:hint="eastAsia" w:ascii="Times New Roman" w:eastAsia="宋体"/>
                <w:strike w:val="0"/>
                <w:dstrike w:val="0"/>
                <w:color w:val="auto"/>
                <w:sz w:val="21"/>
                <w:szCs w:val="21"/>
                <w:vertAlign w:val="baseline"/>
                <w:lang w:val="en-US" w:eastAsia="zh-CN"/>
              </w:rPr>
              <w:t>操作项目</w:t>
            </w:r>
          </w:p>
        </w:tc>
        <w:tc>
          <w:tcPr>
            <w:tcW w:w="921" w:type="pct"/>
            <w:gridSpan w:val="2"/>
            <w:vAlign w:val="center"/>
          </w:tcPr>
          <w:p w14:paraId="48EEE3D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eastAsia="宋体"/>
                <w:strike w:val="0"/>
                <w:dstrike w:val="0"/>
                <w:color w:val="auto"/>
                <w:sz w:val="21"/>
                <w:szCs w:val="21"/>
                <w:vertAlign w:val="baseline"/>
                <w:lang w:val="en-US" w:eastAsia="zh-CN"/>
              </w:rPr>
            </w:pPr>
            <w:r>
              <w:rPr>
                <w:rFonts w:hint="eastAsia" w:ascii="Times New Roman" w:eastAsia="宋体"/>
                <w:strike w:val="0"/>
                <w:dstrike w:val="0"/>
                <w:color w:val="auto"/>
                <w:sz w:val="21"/>
                <w:szCs w:val="21"/>
                <w:vertAlign w:val="baseline"/>
                <w:lang w:val="en-US" w:eastAsia="zh-CN"/>
              </w:rPr>
              <w:t>低压电工作业、高压电工作业</w:t>
            </w:r>
          </w:p>
        </w:tc>
        <w:tc>
          <w:tcPr>
            <w:tcW w:w="369" w:type="pct"/>
            <w:vAlign w:val="center"/>
          </w:tcPr>
          <w:p w14:paraId="3DD6481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eastAsia="宋体"/>
                <w:strike w:val="0"/>
                <w:dstrike w:val="0"/>
                <w:color w:val="auto"/>
                <w:sz w:val="21"/>
                <w:szCs w:val="21"/>
                <w:vertAlign w:val="baseline"/>
                <w:lang w:val="en-US" w:eastAsia="zh-CN"/>
              </w:rPr>
            </w:pPr>
            <w:r>
              <w:rPr>
                <w:rFonts w:hint="eastAsia" w:ascii="Times New Roman" w:eastAsia="宋体"/>
                <w:strike w:val="0"/>
                <w:dstrike w:val="0"/>
                <w:color w:val="auto"/>
                <w:sz w:val="21"/>
                <w:szCs w:val="21"/>
                <w:vertAlign w:val="baseline"/>
                <w:lang w:val="en-US" w:eastAsia="zh-CN"/>
              </w:rPr>
              <w:t>有效期</w:t>
            </w:r>
          </w:p>
        </w:tc>
        <w:tc>
          <w:tcPr>
            <w:tcW w:w="793" w:type="pct"/>
            <w:vAlign w:val="center"/>
          </w:tcPr>
          <w:p w14:paraId="193646F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eastAsia="宋体"/>
                <w:strike w:val="0"/>
                <w:dstrike w:val="0"/>
                <w:color w:val="auto"/>
                <w:sz w:val="21"/>
                <w:szCs w:val="21"/>
                <w:vertAlign w:val="baseline"/>
                <w:lang w:val="en-US" w:eastAsia="zh-CN"/>
              </w:rPr>
            </w:pPr>
            <w:r>
              <w:rPr>
                <w:rFonts w:hint="eastAsia" w:ascii="Times New Roman" w:eastAsia="宋体"/>
                <w:strike w:val="0"/>
                <w:dstrike w:val="0"/>
                <w:color w:val="auto"/>
                <w:sz w:val="21"/>
                <w:szCs w:val="21"/>
                <w:vertAlign w:val="baseline"/>
                <w:lang w:val="en-US" w:eastAsia="zh-CN"/>
              </w:rPr>
              <w:t>2020-07-22—2026-07-21</w:t>
            </w:r>
          </w:p>
        </w:tc>
      </w:tr>
    </w:tbl>
    <w:p w14:paraId="3A71F846">
      <w:pPr>
        <w:pStyle w:val="4"/>
        <w:bidi w:val="0"/>
        <w:rPr>
          <w:rFonts w:hint="default"/>
          <w:color w:val="auto"/>
          <w:lang w:val="en-US" w:eastAsia="zh-CN"/>
        </w:rPr>
      </w:pPr>
      <w:bookmarkStart w:id="169" w:name="_Toc7688"/>
      <w:bookmarkStart w:id="170" w:name="_Toc4360"/>
      <w:bookmarkStart w:id="171" w:name="_Toc23713"/>
      <w:r>
        <w:rPr>
          <w:rFonts w:hint="default"/>
          <w:color w:val="auto"/>
          <w:lang w:val="en-US" w:eastAsia="zh-CN"/>
        </w:rPr>
        <w:t>2.5.</w:t>
      </w:r>
      <w:r>
        <w:rPr>
          <w:rFonts w:hint="eastAsia"/>
          <w:color w:val="auto"/>
          <w:lang w:val="en-US" w:eastAsia="zh-CN"/>
        </w:rPr>
        <w:t>4</w:t>
      </w:r>
      <w:r>
        <w:rPr>
          <w:rFonts w:hint="default"/>
          <w:color w:val="auto"/>
          <w:lang w:val="en-US" w:eastAsia="zh-CN"/>
        </w:rPr>
        <w:t xml:space="preserve"> 安全标准化运行情况</w:t>
      </w:r>
      <w:bookmarkEnd w:id="169"/>
      <w:bookmarkEnd w:id="170"/>
      <w:bookmarkEnd w:id="171"/>
    </w:p>
    <w:p w14:paraId="17866628">
      <w:pPr>
        <w:bidi w:val="0"/>
        <w:rPr>
          <w:rFonts w:hint="default"/>
          <w:color w:val="auto"/>
          <w:lang w:val="en-US" w:eastAsia="zh-CN"/>
        </w:rPr>
      </w:pPr>
      <w:r>
        <w:rPr>
          <w:rFonts w:hint="eastAsia"/>
          <w:color w:val="auto"/>
        </w:rPr>
        <w:t>江西省坤育矿业有限公司</w:t>
      </w:r>
      <w:r>
        <w:rPr>
          <w:rFonts w:hint="default"/>
          <w:color w:val="auto"/>
          <w:lang w:val="en-US" w:eastAsia="zh-CN"/>
        </w:rPr>
        <w:t>德安县聂桥镇刘家山矿区建筑用辉绿岩矿</w:t>
      </w:r>
      <w:r>
        <w:rPr>
          <w:rFonts w:hint="eastAsia"/>
          <w:color w:val="auto"/>
          <w:lang w:val="en-US" w:eastAsia="zh-CN"/>
        </w:rPr>
        <w:t>于</w:t>
      </w:r>
      <w:r>
        <w:rPr>
          <w:rFonts w:hint="default"/>
          <w:color w:val="auto"/>
          <w:lang w:val="en-US" w:eastAsia="zh-CN"/>
        </w:rPr>
        <w:t>20</w:t>
      </w:r>
      <w:r>
        <w:rPr>
          <w:rFonts w:hint="eastAsia"/>
          <w:color w:val="auto"/>
          <w:lang w:val="en-US" w:eastAsia="zh-CN"/>
        </w:rPr>
        <w:t>23</w:t>
      </w:r>
      <w:r>
        <w:rPr>
          <w:rFonts w:hint="default"/>
          <w:color w:val="auto"/>
          <w:lang w:val="en-US" w:eastAsia="zh-CN"/>
        </w:rPr>
        <w:t>年</w:t>
      </w:r>
      <w:r>
        <w:rPr>
          <w:rFonts w:hint="eastAsia"/>
          <w:color w:val="auto"/>
          <w:lang w:val="en-US" w:eastAsia="zh-CN"/>
        </w:rPr>
        <w:t>9</w:t>
      </w:r>
      <w:r>
        <w:rPr>
          <w:rFonts w:hint="default"/>
          <w:color w:val="auto"/>
          <w:lang w:val="en-US" w:eastAsia="zh-CN"/>
        </w:rPr>
        <w:t>月</w:t>
      </w:r>
      <w:r>
        <w:rPr>
          <w:rFonts w:hint="eastAsia"/>
          <w:color w:val="auto"/>
          <w:lang w:val="en-US" w:eastAsia="zh-CN"/>
        </w:rPr>
        <w:t>4</w:t>
      </w:r>
      <w:r>
        <w:rPr>
          <w:rFonts w:hint="default"/>
          <w:color w:val="auto"/>
          <w:lang w:val="en-US" w:eastAsia="zh-CN"/>
        </w:rPr>
        <w:t>日获得了安全生产标准化</w:t>
      </w:r>
      <w:r>
        <w:rPr>
          <w:rFonts w:hint="eastAsia"/>
          <w:color w:val="auto"/>
          <w:lang w:val="en-US" w:eastAsia="zh-CN"/>
        </w:rPr>
        <w:t>三</w:t>
      </w:r>
      <w:r>
        <w:rPr>
          <w:rFonts w:hint="default"/>
          <w:color w:val="auto"/>
          <w:lang w:val="en-US" w:eastAsia="zh-CN"/>
        </w:rPr>
        <w:t>级</w:t>
      </w:r>
      <w:r>
        <w:rPr>
          <w:rFonts w:hint="eastAsia"/>
          <w:color w:val="auto"/>
          <w:lang w:val="en-US" w:eastAsia="zh-CN"/>
        </w:rPr>
        <w:t>延期</w:t>
      </w:r>
      <w:r>
        <w:rPr>
          <w:rFonts w:hint="default"/>
          <w:color w:val="auto"/>
          <w:lang w:val="en-US" w:eastAsia="zh-CN"/>
        </w:rPr>
        <w:t>。</w:t>
      </w:r>
      <w:r>
        <w:rPr>
          <w:rFonts w:hint="eastAsia"/>
          <w:color w:val="auto"/>
          <w:lang w:val="en-US" w:eastAsia="zh-CN"/>
        </w:rPr>
        <w:t>（详见九江市应急管理局网站《关于江西省坤育矿业有限公司等4家企业拟通过三级安全生产标准化延期（直接定级）的公示》）</w:t>
      </w:r>
    </w:p>
    <w:p w14:paraId="73333D84">
      <w:pPr>
        <w:bidi w:val="0"/>
        <w:rPr>
          <w:rFonts w:hint="default"/>
          <w:color w:val="auto"/>
          <w:lang w:val="en-US" w:eastAsia="zh-CN"/>
        </w:rPr>
      </w:pPr>
      <w:r>
        <w:rPr>
          <w:rFonts w:hint="default"/>
          <w:color w:val="auto"/>
          <w:lang w:val="en-US" w:eastAsia="zh-CN"/>
        </w:rPr>
        <w:t>自取得非煤矿山安全生产标准化</w:t>
      </w:r>
      <w:r>
        <w:rPr>
          <w:rFonts w:hint="eastAsia"/>
          <w:color w:val="auto"/>
          <w:lang w:val="en-US" w:eastAsia="zh-CN"/>
        </w:rPr>
        <w:t>三</w:t>
      </w:r>
      <w:r>
        <w:rPr>
          <w:rFonts w:hint="default"/>
          <w:color w:val="auto"/>
          <w:lang w:val="en-US" w:eastAsia="zh-CN"/>
        </w:rPr>
        <w:t>级后，德安县聂桥镇刘家山矿区建筑用辉绿岩矿一直按非煤矿山安全生产标准化体系运行。</w:t>
      </w:r>
    </w:p>
    <w:p w14:paraId="028CEF5A">
      <w:pPr>
        <w:pStyle w:val="4"/>
        <w:bidi w:val="0"/>
        <w:rPr>
          <w:rFonts w:hint="default"/>
          <w:color w:val="auto"/>
          <w:lang w:val="en-US" w:eastAsia="zh-CN"/>
        </w:rPr>
      </w:pPr>
      <w:bookmarkStart w:id="172" w:name="_Toc8444"/>
      <w:bookmarkStart w:id="173" w:name="_Toc31330"/>
      <w:bookmarkStart w:id="174" w:name="_Toc17660"/>
      <w:r>
        <w:rPr>
          <w:rFonts w:hint="eastAsia"/>
          <w:color w:val="auto"/>
          <w:lang w:val="en-US" w:eastAsia="zh-CN"/>
        </w:rPr>
        <w:t>2.5.5 双重预防机制</w:t>
      </w:r>
      <w:bookmarkEnd w:id="172"/>
      <w:bookmarkEnd w:id="173"/>
      <w:bookmarkEnd w:id="174"/>
    </w:p>
    <w:p w14:paraId="792F8595">
      <w:pPr>
        <w:bidi w:val="0"/>
        <w:rPr>
          <w:rFonts w:hint="default"/>
          <w:color w:val="auto"/>
          <w:lang w:val="en-US" w:eastAsia="zh-CN"/>
        </w:rPr>
      </w:pPr>
      <w:r>
        <w:rPr>
          <w:rFonts w:hint="eastAsia"/>
          <w:color w:val="auto"/>
        </w:rPr>
        <w:t>江西省坤育矿业有限公司</w:t>
      </w:r>
      <w:r>
        <w:rPr>
          <w:rFonts w:hint="default"/>
          <w:color w:val="auto"/>
          <w:lang w:val="en-US" w:eastAsia="zh-CN"/>
        </w:rPr>
        <w:t>已建立了安全风险分级管控和隐患排查治理双重预防体系</w:t>
      </w:r>
      <w:r>
        <w:rPr>
          <w:rFonts w:hint="eastAsia"/>
          <w:color w:val="auto"/>
          <w:lang w:val="en-US" w:eastAsia="zh-CN"/>
        </w:rPr>
        <w:t>，</w:t>
      </w:r>
      <w:r>
        <w:rPr>
          <w:rFonts w:hint="default"/>
          <w:color w:val="auto"/>
          <w:lang w:val="en-US" w:eastAsia="zh-CN"/>
        </w:rPr>
        <w:t>将事故隐患分为基础管理类事故隐患和现场管理类事故隐患两部分内容，其中基础管理类事故隐患包括安全生产行政许可所要求的资质证照、安全生产管理机构及人员、安全责任制及规章制度、安全培训教育、安全投入、重大危险源管理、个体防护、职业健康、相关方管理、应急管理、隐患排查治理、事故报告、调查和处理等内容提要</w:t>
      </w:r>
      <w:r>
        <w:rPr>
          <w:rFonts w:hint="eastAsia"/>
          <w:color w:val="auto"/>
          <w:lang w:val="en-US" w:eastAsia="zh-CN"/>
        </w:rPr>
        <w:t>；</w:t>
      </w:r>
      <w:r>
        <w:rPr>
          <w:rFonts w:hint="default"/>
          <w:color w:val="auto"/>
          <w:lang w:val="en-US" w:eastAsia="zh-CN"/>
        </w:rPr>
        <w:t>现场管理类事故隐患包括安全管理、生产工艺、作业现场、职业卫生等内容。加强了安全生产风险分级管控、事故隐患排查治理等方面的学习、培训，积极开展</w:t>
      </w:r>
      <w:r>
        <w:rPr>
          <w:rFonts w:hint="eastAsia"/>
          <w:color w:val="auto"/>
          <w:lang w:val="en-US" w:eastAsia="zh-CN"/>
        </w:rPr>
        <w:t>了</w:t>
      </w:r>
      <w:r>
        <w:rPr>
          <w:rFonts w:hint="default"/>
          <w:color w:val="auto"/>
          <w:lang w:val="en-US" w:eastAsia="zh-CN"/>
        </w:rPr>
        <w:t>风险分级管控及事故隐患排查治理工作。</w:t>
      </w:r>
    </w:p>
    <w:p w14:paraId="5243371C">
      <w:pPr>
        <w:pStyle w:val="4"/>
        <w:bidi w:val="0"/>
        <w:rPr>
          <w:rFonts w:hint="default"/>
          <w:color w:val="auto"/>
          <w:lang w:val="en-US" w:eastAsia="zh-CN"/>
        </w:rPr>
      </w:pPr>
      <w:bookmarkStart w:id="175" w:name="_Toc25380"/>
      <w:bookmarkStart w:id="176" w:name="_Toc10018"/>
      <w:bookmarkStart w:id="177" w:name="_Toc22808"/>
      <w:r>
        <w:rPr>
          <w:rFonts w:hint="default"/>
          <w:color w:val="auto"/>
          <w:lang w:val="en-US" w:eastAsia="zh-CN"/>
        </w:rPr>
        <w:t>2.</w:t>
      </w:r>
      <w:r>
        <w:rPr>
          <w:rFonts w:hint="eastAsia"/>
          <w:color w:val="auto"/>
          <w:lang w:val="en-US" w:eastAsia="zh-CN"/>
        </w:rPr>
        <w:t>5</w:t>
      </w:r>
      <w:r>
        <w:rPr>
          <w:rFonts w:hint="default"/>
          <w:color w:val="auto"/>
          <w:lang w:val="en-US" w:eastAsia="zh-CN"/>
        </w:rPr>
        <w:t>.6</w:t>
      </w:r>
      <w:r>
        <w:rPr>
          <w:rFonts w:hint="eastAsia"/>
          <w:color w:val="auto"/>
          <w:lang w:val="en-US" w:eastAsia="zh-CN"/>
        </w:rPr>
        <w:t xml:space="preserve"> 安全生产费用</w:t>
      </w:r>
      <w:bookmarkEnd w:id="175"/>
      <w:bookmarkEnd w:id="176"/>
      <w:bookmarkEnd w:id="177"/>
    </w:p>
    <w:p w14:paraId="6C745E5C">
      <w:pPr>
        <w:bidi w:val="0"/>
        <w:rPr>
          <w:rFonts w:hint="eastAsia"/>
          <w:color w:val="auto"/>
          <w:lang w:val="en-US" w:eastAsia="zh-CN"/>
        </w:rPr>
      </w:pPr>
      <w:r>
        <w:rPr>
          <w:rFonts w:hint="eastAsia"/>
          <w:color w:val="auto"/>
        </w:rPr>
        <w:t>江西省坤育矿业有限公司</w:t>
      </w:r>
      <w:r>
        <w:rPr>
          <w:rFonts w:hint="default"/>
          <w:color w:val="auto"/>
          <w:lang w:val="en-US" w:eastAsia="zh-CN"/>
        </w:rPr>
        <w:t>按照《财政部 应急部关于印发〈企业安全生产费用提取和使用管理办法〉的通知》</w:t>
      </w:r>
      <w:r>
        <w:rPr>
          <w:rFonts w:hint="eastAsia"/>
          <w:color w:val="auto"/>
          <w:lang w:val="en-US" w:eastAsia="zh-CN"/>
        </w:rPr>
        <w:t>（</w:t>
      </w:r>
      <w:r>
        <w:rPr>
          <w:rFonts w:hint="default"/>
          <w:color w:val="auto"/>
          <w:lang w:val="en-US" w:eastAsia="zh-CN"/>
        </w:rPr>
        <w:t>财资〔2022〕136号文</w:t>
      </w:r>
      <w:r>
        <w:rPr>
          <w:rFonts w:hint="eastAsia"/>
          <w:color w:val="auto"/>
          <w:lang w:val="en-US" w:eastAsia="zh-CN"/>
        </w:rPr>
        <w:t>）的</w:t>
      </w:r>
      <w:r>
        <w:rPr>
          <w:rFonts w:hint="default"/>
          <w:color w:val="auto"/>
          <w:lang w:val="en-US" w:eastAsia="zh-CN"/>
        </w:rPr>
        <w:t>要求标准提取</w:t>
      </w:r>
      <w:r>
        <w:rPr>
          <w:rFonts w:hint="eastAsia"/>
          <w:color w:val="auto"/>
          <w:lang w:val="en-US" w:eastAsia="zh-CN"/>
        </w:rPr>
        <w:t>，</w:t>
      </w:r>
      <w:r>
        <w:rPr>
          <w:rFonts w:hint="default"/>
          <w:color w:val="auto"/>
          <w:lang w:val="en-US" w:eastAsia="zh-CN"/>
        </w:rPr>
        <w:t>202</w:t>
      </w:r>
      <w:r>
        <w:rPr>
          <w:rFonts w:hint="eastAsia"/>
          <w:color w:val="auto"/>
          <w:lang w:val="en-US" w:eastAsia="zh-CN"/>
        </w:rPr>
        <w:t>4</w:t>
      </w:r>
      <w:r>
        <w:rPr>
          <w:rFonts w:hint="default"/>
          <w:color w:val="auto"/>
          <w:lang w:val="en-US" w:eastAsia="zh-CN"/>
        </w:rPr>
        <w:t>年</w:t>
      </w:r>
      <w:r>
        <w:rPr>
          <w:rFonts w:hint="eastAsia"/>
          <w:color w:val="auto"/>
          <w:lang w:val="en-US" w:eastAsia="zh-CN"/>
        </w:rPr>
        <w:t>安全生产费用合计提取共547</w:t>
      </w:r>
      <w:r>
        <w:rPr>
          <w:rFonts w:hint="default"/>
          <w:color w:val="auto"/>
          <w:lang w:val="en-US" w:eastAsia="zh-CN"/>
        </w:rPr>
        <w:t>万元</w:t>
      </w:r>
      <w:r>
        <w:rPr>
          <w:rFonts w:hint="eastAsia"/>
          <w:color w:val="auto"/>
          <w:lang w:val="en-US" w:eastAsia="zh-CN"/>
        </w:rPr>
        <w:t>，合计支出共590万元，</w:t>
      </w:r>
      <w:r>
        <w:rPr>
          <w:rFonts w:hint="default"/>
          <w:color w:val="auto"/>
          <w:lang w:val="en-US" w:eastAsia="zh-CN"/>
        </w:rPr>
        <w:t>做到</w:t>
      </w:r>
      <w:r>
        <w:rPr>
          <w:rFonts w:hint="eastAsia"/>
          <w:color w:val="auto"/>
          <w:lang w:val="en-US" w:eastAsia="zh-CN"/>
        </w:rPr>
        <w:t>了</w:t>
      </w:r>
      <w:r>
        <w:rPr>
          <w:rFonts w:hint="default"/>
          <w:color w:val="auto"/>
          <w:lang w:val="en-US" w:eastAsia="zh-CN"/>
        </w:rPr>
        <w:t>安全费用专款专用，台账记录资料齐全。安全费用用于完善、改造和维护安全防护设施设备和重大安全隐患治理支出</w:t>
      </w:r>
      <w:r>
        <w:rPr>
          <w:rFonts w:hint="eastAsia"/>
          <w:color w:val="auto"/>
          <w:lang w:val="en-US" w:eastAsia="zh-CN"/>
        </w:rPr>
        <w:t>；边坡稳定性分析、安全评价等支出；开展重大危险源和事故隐患评估、监控和整改支出；安全生产检查、评价、咨询、标准化建设支出；配备和更新现场作业人员安全防护用品支出；安全生产宣传、教育、培训支出；安全生产适用的新技术、新标准、新工艺、新装备的推应用支出；安全设施及特种设备检测检验支出；地质勘探单位野外应急食品、应急器械、应急药品支出；其他与安全生产直接相关的支出等。2025年度安全费用使用计划560万元。</w:t>
      </w:r>
    </w:p>
    <w:p w14:paraId="68F71BE7">
      <w:pPr>
        <w:bidi w:val="0"/>
        <w:rPr>
          <w:rFonts w:hint="eastAsia"/>
          <w:color w:val="auto"/>
          <w:lang w:eastAsia="zh-CN"/>
        </w:rPr>
      </w:pPr>
      <w:r>
        <w:rPr>
          <w:rFonts w:hint="eastAsia"/>
          <w:color w:val="auto"/>
        </w:rPr>
        <w:t>江西省坤育矿业有限公司</w:t>
      </w:r>
      <w:r>
        <w:rPr>
          <w:rFonts w:hint="eastAsia"/>
          <w:color w:val="auto"/>
          <w:lang w:val="en-US" w:eastAsia="zh-CN"/>
        </w:rPr>
        <w:t>于2025年6月20日</w:t>
      </w:r>
      <w:r>
        <w:rPr>
          <w:rFonts w:hint="eastAsia"/>
          <w:color w:val="auto"/>
        </w:rPr>
        <w:t>为从业人员</w:t>
      </w:r>
      <w:r>
        <w:rPr>
          <w:rFonts w:hint="eastAsia"/>
          <w:color w:val="auto"/>
          <w:lang w:val="en-US" w:eastAsia="zh-CN"/>
        </w:rPr>
        <w:t>17</w:t>
      </w:r>
      <w:r>
        <w:rPr>
          <w:rFonts w:hint="eastAsia"/>
          <w:color w:val="auto"/>
        </w:rPr>
        <w:t>人购买了工伤保险</w:t>
      </w:r>
      <w:r>
        <w:rPr>
          <w:rFonts w:hint="eastAsia"/>
          <w:color w:val="auto"/>
          <w:lang w:eastAsia="zh-CN"/>
        </w:rPr>
        <w:t>；分别于202</w:t>
      </w:r>
      <w:r>
        <w:rPr>
          <w:rFonts w:hint="eastAsia"/>
          <w:color w:val="auto"/>
          <w:lang w:val="en-US" w:eastAsia="zh-CN"/>
        </w:rPr>
        <w:t>4</w:t>
      </w:r>
      <w:r>
        <w:rPr>
          <w:rFonts w:hint="eastAsia"/>
          <w:color w:val="auto"/>
          <w:lang w:eastAsia="zh-CN"/>
        </w:rPr>
        <w:t>年</w:t>
      </w:r>
      <w:r>
        <w:rPr>
          <w:rFonts w:hint="eastAsia"/>
          <w:color w:val="auto"/>
          <w:lang w:val="en-US" w:eastAsia="zh-CN"/>
        </w:rPr>
        <w:t>10</w:t>
      </w:r>
      <w:r>
        <w:rPr>
          <w:rFonts w:hint="eastAsia"/>
          <w:color w:val="auto"/>
          <w:lang w:eastAsia="zh-CN"/>
        </w:rPr>
        <w:t>月</w:t>
      </w:r>
      <w:r>
        <w:rPr>
          <w:rFonts w:hint="eastAsia"/>
          <w:color w:val="auto"/>
          <w:lang w:val="en-US" w:eastAsia="zh-CN"/>
        </w:rPr>
        <w:t>8</w:t>
      </w:r>
      <w:r>
        <w:rPr>
          <w:rFonts w:hint="eastAsia"/>
          <w:color w:val="auto"/>
          <w:lang w:eastAsia="zh-CN"/>
        </w:rPr>
        <w:t>日和202</w:t>
      </w:r>
      <w:r>
        <w:rPr>
          <w:rFonts w:hint="eastAsia"/>
          <w:color w:val="auto"/>
          <w:lang w:val="en-US" w:eastAsia="zh-CN"/>
        </w:rPr>
        <w:t>5</w:t>
      </w:r>
      <w:r>
        <w:rPr>
          <w:rFonts w:hint="eastAsia"/>
          <w:color w:val="auto"/>
          <w:lang w:eastAsia="zh-CN"/>
        </w:rPr>
        <w:t>年</w:t>
      </w:r>
      <w:r>
        <w:rPr>
          <w:rFonts w:hint="eastAsia"/>
          <w:color w:val="auto"/>
          <w:lang w:val="en-US" w:eastAsia="zh-CN"/>
        </w:rPr>
        <w:t>3</w:t>
      </w:r>
      <w:r>
        <w:rPr>
          <w:rFonts w:hint="eastAsia"/>
          <w:color w:val="auto"/>
          <w:lang w:eastAsia="zh-CN"/>
        </w:rPr>
        <w:t>月</w:t>
      </w:r>
      <w:r>
        <w:rPr>
          <w:rFonts w:hint="eastAsia"/>
          <w:color w:val="auto"/>
          <w:lang w:val="en-US" w:eastAsia="zh-CN"/>
        </w:rPr>
        <w:t>3</w:t>
      </w:r>
      <w:r>
        <w:rPr>
          <w:rFonts w:hint="eastAsia"/>
          <w:color w:val="auto"/>
          <w:lang w:eastAsia="zh-CN"/>
        </w:rPr>
        <w:t>日购买了安全生产责任险，共投保人数</w:t>
      </w:r>
      <w:r>
        <w:rPr>
          <w:rFonts w:hint="eastAsia"/>
          <w:color w:val="auto"/>
          <w:lang w:val="en-US" w:eastAsia="zh-CN"/>
        </w:rPr>
        <w:t>27</w:t>
      </w:r>
      <w:r>
        <w:rPr>
          <w:rFonts w:hint="eastAsia"/>
          <w:color w:val="auto"/>
          <w:lang w:eastAsia="zh-CN"/>
        </w:rPr>
        <w:t>人，保险期限分别为：</w:t>
      </w:r>
      <w:r>
        <w:rPr>
          <w:rFonts w:hint="eastAsia"/>
          <w:color w:val="auto"/>
        </w:rPr>
        <w:t>202</w:t>
      </w:r>
      <w:r>
        <w:rPr>
          <w:rFonts w:hint="eastAsia"/>
          <w:color w:val="auto"/>
          <w:lang w:val="en-US" w:eastAsia="zh-CN"/>
        </w:rPr>
        <w:t>4</w:t>
      </w:r>
      <w:r>
        <w:rPr>
          <w:rFonts w:hint="eastAsia"/>
          <w:color w:val="auto"/>
        </w:rPr>
        <w:t>年</w:t>
      </w:r>
      <w:r>
        <w:rPr>
          <w:rFonts w:hint="eastAsia"/>
          <w:color w:val="auto"/>
          <w:lang w:val="en-US" w:eastAsia="zh-CN"/>
        </w:rPr>
        <w:t>10</w:t>
      </w:r>
      <w:r>
        <w:rPr>
          <w:rFonts w:hint="eastAsia"/>
          <w:color w:val="auto"/>
        </w:rPr>
        <w:t>月</w:t>
      </w:r>
      <w:r>
        <w:rPr>
          <w:rFonts w:hint="eastAsia"/>
          <w:color w:val="auto"/>
          <w:lang w:val="en-US" w:eastAsia="zh-CN"/>
        </w:rPr>
        <w:t>10</w:t>
      </w:r>
      <w:r>
        <w:rPr>
          <w:rFonts w:hint="eastAsia"/>
          <w:color w:val="auto"/>
        </w:rPr>
        <w:t>日至20</w:t>
      </w:r>
      <w:r>
        <w:rPr>
          <w:rFonts w:hint="eastAsia"/>
          <w:color w:val="auto"/>
          <w:lang w:val="en-US" w:eastAsia="zh-CN"/>
        </w:rPr>
        <w:t>25</w:t>
      </w:r>
      <w:r>
        <w:rPr>
          <w:rFonts w:hint="eastAsia"/>
          <w:color w:val="auto"/>
        </w:rPr>
        <w:t>年</w:t>
      </w:r>
      <w:r>
        <w:rPr>
          <w:rFonts w:hint="eastAsia"/>
          <w:color w:val="auto"/>
          <w:lang w:val="en-US" w:eastAsia="zh-CN"/>
        </w:rPr>
        <w:t>10</w:t>
      </w:r>
      <w:r>
        <w:rPr>
          <w:rFonts w:hint="eastAsia"/>
          <w:color w:val="auto"/>
        </w:rPr>
        <w:t>月</w:t>
      </w:r>
      <w:r>
        <w:rPr>
          <w:rFonts w:hint="eastAsia"/>
          <w:color w:val="auto"/>
          <w:lang w:val="en-US" w:eastAsia="zh-CN"/>
        </w:rPr>
        <w:t>9</w:t>
      </w:r>
      <w:r>
        <w:rPr>
          <w:rFonts w:hint="eastAsia"/>
          <w:color w:val="auto"/>
        </w:rPr>
        <w:t>日</w:t>
      </w:r>
      <w:r>
        <w:rPr>
          <w:rFonts w:hint="eastAsia"/>
          <w:color w:val="auto"/>
          <w:lang w:eastAsia="zh-CN"/>
        </w:rPr>
        <w:t>和202</w:t>
      </w:r>
      <w:r>
        <w:rPr>
          <w:rFonts w:hint="eastAsia"/>
          <w:color w:val="auto"/>
          <w:lang w:val="en-US" w:eastAsia="zh-CN"/>
        </w:rPr>
        <w:t>5</w:t>
      </w:r>
      <w:r>
        <w:rPr>
          <w:rFonts w:hint="eastAsia"/>
          <w:color w:val="auto"/>
          <w:lang w:eastAsia="zh-CN"/>
        </w:rPr>
        <w:t>年</w:t>
      </w:r>
      <w:r>
        <w:rPr>
          <w:rFonts w:hint="eastAsia"/>
          <w:color w:val="auto"/>
          <w:lang w:val="en-US" w:eastAsia="zh-CN"/>
        </w:rPr>
        <w:t>3</w:t>
      </w:r>
      <w:r>
        <w:rPr>
          <w:rFonts w:hint="eastAsia"/>
          <w:color w:val="auto"/>
          <w:lang w:eastAsia="zh-CN"/>
        </w:rPr>
        <w:t>月</w:t>
      </w:r>
      <w:r>
        <w:rPr>
          <w:rFonts w:hint="eastAsia"/>
          <w:color w:val="auto"/>
          <w:lang w:val="en-US" w:eastAsia="zh-CN"/>
        </w:rPr>
        <w:t>4</w:t>
      </w:r>
      <w:r>
        <w:rPr>
          <w:rFonts w:hint="eastAsia"/>
          <w:color w:val="auto"/>
          <w:lang w:eastAsia="zh-CN"/>
        </w:rPr>
        <w:t>日至</w:t>
      </w:r>
      <w:r>
        <w:rPr>
          <w:rFonts w:hint="eastAsia"/>
          <w:color w:val="auto"/>
        </w:rPr>
        <w:t>20</w:t>
      </w:r>
      <w:r>
        <w:rPr>
          <w:rFonts w:hint="eastAsia"/>
          <w:color w:val="auto"/>
          <w:lang w:val="en-US" w:eastAsia="zh-CN"/>
        </w:rPr>
        <w:t>26</w:t>
      </w:r>
      <w:r>
        <w:rPr>
          <w:rFonts w:hint="eastAsia"/>
          <w:color w:val="auto"/>
        </w:rPr>
        <w:t>年</w:t>
      </w:r>
      <w:r>
        <w:rPr>
          <w:rFonts w:hint="eastAsia"/>
          <w:color w:val="auto"/>
          <w:lang w:val="en-US" w:eastAsia="zh-CN"/>
        </w:rPr>
        <w:t>3</w:t>
      </w:r>
      <w:r>
        <w:rPr>
          <w:rFonts w:hint="eastAsia"/>
          <w:color w:val="auto"/>
        </w:rPr>
        <w:t>月</w:t>
      </w:r>
      <w:r>
        <w:rPr>
          <w:rFonts w:hint="eastAsia"/>
          <w:color w:val="auto"/>
          <w:lang w:val="en-US" w:eastAsia="zh-CN"/>
        </w:rPr>
        <w:t>3</w:t>
      </w:r>
      <w:r>
        <w:rPr>
          <w:rFonts w:hint="eastAsia"/>
          <w:color w:val="auto"/>
        </w:rPr>
        <w:t>日</w:t>
      </w:r>
      <w:r>
        <w:rPr>
          <w:rFonts w:hint="eastAsia"/>
          <w:color w:val="auto"/>
          <w:lang w:eastAsia="zh-CN"/>
        </w:rPr>
        <w:t>。</w:t>
      </w:r>
    </w:p>
    <w:p w14:paraId="247D6F24">
      <w:pPr>
        <w:pStyle w:val="4"/>
        <w:bidi w:val="0"/>
        <w:rPr>
          <w:rFonts w:hint="default"/>
          <w:color w:val="auto"/>
          <w:lang w:val="en-US" w:eastAsia="zh-CN"/>
        </w:rPr>
      </w:pPr>
      <w:bookmarkStart w:id="178" w:name="_Toc25491"/>
      <w:bookmarkStart w:id="179" w:name="_Toc13030"/>
      <w:bookmarkStart w:id="180" w:name="_Toc14573"/>
      <w:r>
        <w:rPr>
          <w:rFonts w:hint="default"/>
          <w:color w:val="auto"/>
          <w:lang w:val="en-US" w:eastAsia="zh-CN"/>
        </w:rPr>
        <w:t>2.</w:t>
      </w:r>
      <w:r>
        <w:rPr>
          <w:rFonts w:hint="eastAsia"/>
          <w:color w:val="auto"/>
          <w:lang w:val="en-US" w:eastAsia="zh-CN"/>
        </w:rPr>
        <w:t>5</w:t>
      </w:r>
      <w:r>
        <w:rPr>
          <w:rFonts w:hint="default"/>
          <w:color w:val="auto"/>
          <w:lang w:val="en-US" w:eastAsia="zh-CN"/>
        </w:rPr>
        <w:t>.</w:t>
      </w:r>
      <w:r>
        <w:rPr>
          <w:rFonts w:hint="eastAsia"/>
          <w:color w:val="auto"/>
          <w:lang w:val="en-US" w:eastAsia="zh-CN"/>
        </w:rPr>
        <w:t xml:space="preserve">7 </w:t>
      </w:r>
      <w:r>
        <w:rPr>
          <w:rFonts w:hint="default"/>
          <w:color w:val="auto"/>
          <w:lang w:val="en-US" w:eastAsia="zh-CN"/>
        </w:rPr>
        <w:t>应急救援</w:t>
      </w:r>
      <w:bookmarkEnd w:id="178"/>
      <w:bookmarkEnd w:id="179"/>
      <w:bookmarkEnd w:id="180"/>
    </w:p>
    <w:p w14:paraId="0BE9AA0A">
      <w:pPr>
        <w:bidi w:val="0"/>
        <w:rPr>
          <w:rFonts w:hint="default"/>
          <w:color w:val="auto"/>
          <w:lang w:val="en-US" w:eastAsia="zh-CN"/>
        </w:rPr>
      </w:pPr>
      <w:r>
        <w:rPr>
          <w:rFonts w:hint="default"/>
          <w:color w:val="auto"/>
          <w:lang w:val="en-US" w:eastAsia="zh-CN"/>
        </w:rPr>
        <w:t>江西省坤育矿业有限公司编制了《德安县聂桥镇刘家山矿区建筑用辉绿岩矿生产安全事故应急预案》</w:t>
      </w:r>
      <w:r>
        <w:rPr>
          <w:rFonts w:hint="eastAsia"/>
          <w:color w:val="auto"/>
          <w:lang w:val="en-US" w:eastAsia="zh-CN"/>
        </w:rPr>
        <w:t>，</w:t>
      </w:r>
      <w:r>
        <w:rPr>
          <w:rFonts w:hint="default"/>
          <w:color w:val="auto"/>
          <w:lang w:val="en-US" w:eastAsia="zh-CN"/>
        </w:rPr>
        <w:t>于202</w:t>
      </w:r>
      <w:r>
        <w:rPr>
          <w:rFonts w:hint="eastAsia"/>
          <w:color w:val="auto"/>
          <w:lang w:val="en-US" w:eastAsia="zh-CN"/>
        </w:rPr>
        <w:t>5</w:t>
      </w:r>
      <w:r>
        <w:rPr>
          <w:rFonts w:hint="default"/>
          <w:color w:val="auto"/>
          <w:lang w:val="en-US" w:eastAsia="zh-CN"/>
        </w:rPr>
        <w:t>年</w:t>
      </w:r>
      <w:r>
        <w:rPr>
          <w:rFonts w:hint="eastAsia"/>
          <w:color w:val="auto"/>
          <w:lang w:val="en-US" w:eastAsia="zh-CN"/>
        </w:rPr>
        <w:t>7</w:t>
      </w:r>
      <w:r>
        <w:rPr>
          <w:rFonts w:hint="default"/>
          <w:color w:val="auto"/>
          <w:lang w:val="en-US" w:eastAsia="zh-CN"/>
        </w:rPr>
        <w:t>月</w:t>
      </w:r>
      <w:r>
        <w:rPr>
          <w:rFonts w:hint="eastAsia"/>
          <w:color w:val="auto"/>
          <w:lang w:val="en-US" w:eastAsia="zh-CN"/>
        </w:rPr>
        <w:t>17</w:t>
      </w:r>
      <w:r>
        <w:rPr>
          <w:rFonts w:hint="default"/>
          <w:color w:val="auto"/>
          <w:lang w:val="en-US" w:eastAsia="zh-CN"/>
        </w:rPr>
        <w:t>日在九江市应急管理局备案</w:t>
      </w:r>
      <w:r>
        <w:rPr>
          <w:rFonts w:hint="eastAsia"/>
          <w:color w:val="auto"/>
          <w:lang w:val="en-US" w:eastAsia="zh-CN"/>
        </w:rPr>
        <w:t>，</w:t>
      </w:r>
      <w:r>
        <w:rPr>
          <w:rFonts w:hint="default"/>
          <w:color w:val="auto"/>
          <w:lang w:val="en-US" w:eastAsia="zh-CN"/>
        </w:rPr>
        <w:t>备案编号为</w:t>
      </w:r>
      <w:r>
        <w:rPr>
          <w:rFonts w:hint="eastAsia"/>
          <w:color w:val="auto"/>
          <w:lang w:val="en-US" w:eastAsia="zh-CN"/>
        </w:rPr>
        <w:t>：</w:t>
      </w:r>
      <w:r>
        <w:rPr>
          <w:rFonts w:hint="default"/>
          <w:color w:val="auto"/>
          <w:lang w:val="en-US" w:eastAsia="zh-CN"/>
        </w:rPr>
        <w:t>3604002025107。</w:t>
      </w:r>
    </w:p>
    <w:p w14:paraId="40AC878A">
      <w:pPr>
        <w:bidi w:val="0"/>
        <w:rPr>
          <w:rFonts w:hint="default"/>
          <w:color w:val="auto"/>
          <w:lang w:val="en-US" w:eastAsia="zh-CN"/>
        </w:rPr>
      </w:pPr>
      <w:r>
        <w:rPr>
          <w:rFonts w:hint="default"/>
          <w:strike w:val="0"/>
          <w:dstrike w:val="0"/>
          <w:color w:val="auto"/>
          <w:lang w:val="en-US" w:eastAsia="zh-CN"/>
        </w:rPr>
        <w:t>2025年</w:t>
      </w:r>
      <w:r>
        <w:rPr>
          <w:rFonts w:hint="eastAsia"/>
          <w:strike w:val="0"/>
          <w:dstrike w:val="0"/>
          <w:color w:val="auto"/>
          <w:lang w:val="en-US" w:eastAsia="zh-CN"/>
        </w:rPr>
        <w:t>6</w:t>
      </w:r>
      <w:r>
        <w:rPr>
          <w:rFonts w:hint="default"/>
          <w:strike w:val="0"/>
          <w:dstrike w:val="0"/>
          <w:color w:val="auto"/>
          <w:lang w:val="en-US" w:eastAsia="zh-CN"/>
        </w:rPr>
        <w:t>月</w:t>
      </w:r>
      <w:r>
        <w:rPr>
          <w:rFonts w:hint="eastAsia"/>
          <w:strike w:val="0"/>
          <w:dstrike w:val="0"/>
          <w:color w:val="auto"/>
          <w:lang w:val="en-US" w:eastAsia="zh-CN"/>
        </w:rPr>
        <w:t>23</w:t>
      </w:r>
      <w:r>
        <w:rPr>
          <w:rFonts w:hint="default"/>
          <w:strike w:val="0"/>
          <w:dstrike w:val="0"/>
          <w:color w:val="auto"/>
          <w:lang w:val="en-US" w:eastAsia="zh-CN"/>
        </w:rPr>
        <w:t>日，</w:t>
      </w:r>
      <w:r>
        <w:rPr>
          <w:rFonts w:hint="default"/>
          <w:color w:val="auto"/>
          <w:lang w:val="en-US" w:eastAsia="zh-CN"/>
        </w:rPr>
        <w:t>江西省坤育矿业有限公司</w:t>
      </w:r>
      <w:r>
        <w:rPr>
          <w:rFonts w:hint="default"/>
          <w:strike w:val="0"/>
          <w:dstrike w:val="0"/>
          <w:color w:val="auto"/>
          <w:lang w:val="en-US" w:eastAsia="zh-CN"/>
        </w:rPr>
        <w:t>与德安县专业森林消防大队签订了《矿山安全救护协议书》，有效期</w:t>
      </w:r>
      <w:r>
        <w:rPr>
          <w:rFonts w:hint="eastAsia"/>
          <w:strike w:val="0"/>
          <w:dstrike w:val="0"/>
          <w:color w:val="auto"/>
          <w:lang w:val="en-US" w:eastAsia="zh-CN"/>
        </w:rPr>
        <w:t>壹</w:t>
      </w:r>
      <w:r>
        <w:rPr>
          <w:rFonts w:hint="default"/>
          <w:strike w:val="0"/>
          <w:dstrike w:val="0"/>
          <w:color w:val="auto"/>
          <w:lang w:val="en-US" w:eastAsia="zh-CN"/>
        </w:rPr>
        <w:t>年，有效期至202</w:t>
      </w:r>
      <w:r>
        <w:rPr>
          <w:rFonts w:hint="eastAsia"/>
          <w:strike w:val="0"/>
          <w:dstrike w:val="0"/>
          <w:color w:val="auto"/>
          <w:lang w:val="en-US" w:eastAsia="zh-CN"/>
        </w:rPr>
        <w:t>6</w:t>
      </w:r>
      <w:r>
        <w:rPr>
          <w:rFonts w:hint="default"/>
          <w:strike w:val="0"/>
          <w:dstrike w:val="0"/>
          <w:color w:val="auto"/>
          <w:lang w:val="en-US" w:eastAsia="zh-CN"/>
        </w:rPr>
        <w:t>年</w:t>
      </w:r>
      <w:r>
        <w:rPr>
          <w:rFonts w:hint="eastAsia"/>
          <w:strike w:val="0"/>
          <w:dstrike w:val="0"/>
          <w:color w:val="auto"/>
          <w:lang w:val="en-US" w:eastAsia="zh-CN"/>
        </w:rPr>
        <w:t>6</w:t>
      </w:r>
      <w:r>
        <w:rPr>
          <w:rFonts w:hint="default"/>
          <w:strike w:val="0"/>
          <w:dstrike w:val="0"/>
          <w:color w:val="auto"/>
          <w:lang w:val="en-US" w:eastAsia="zh-CN"/>
        </w:rPr>
        <w:t>月2</w:t>
      </w:r>
      <w:r>
        <w:rPr>
          <w:rFonts w:hint="eastAsia"/>
          <w:strike w:val="0"/>
          <w:dstrike w:val="0"/>
          <w:color w:val="auto"/>
          <w:lang w:val="en-US" w:eastAsia="zh-CN"/>
        </w:rPr>
        <w:t>3</w:t>
      </w:r>
      <w:r>
        <w:rPr>
          <w:rFonts w:hint="default"/>
          <w:strike w:val="0"/>
          <w:dstrike w:val="0"/>
          <w:color w:val="auto"/>
          <w:lang w:val="en-US" w:eastAsia="zh-CN"/>
        </w:rPr>
        <w:t>日。</w:t>
      </w:r>
    </w:p>
    <w:p w14:paraId="0DA3FCD5">
      <w:pPr>
        <w:bidi w:val="0"/>
        <w:rPr>
          <w:rFonts w:hint="default"/>
          <w:color w:val="auto"/>
          <w:lang w:val="en-US" w:eastAsia="zh-CN"/>
        </w:rPr>
      </w:pPr>
      <w:r>
        <w:rPr>
          <w:rFonts w:hint="default"/>
          <w:color w:val="auto"/>
          <w:lang w:val="en-US" w:eastAsia="zh-CN"/>
        </w:rPr>
        <w:t>江西省坤育矿业有限公司</w:t>
      </w:r>
      <w:r>
        <w:rPr>
          <w:rFonts w:hint="eastAsia"/>
          <w:color w:val="auto"/>
          <w:lang w:val="en-US" w:eastAsia="zh-CN"/>
        </w:rPr>
        <w:t>制定了2025年应急演练计划表：计划2025年6月组织采场山体滑坡演练，计划2025年12月组织车辆伤害现场处置演练。</w:t>
      </w:r>
    </w:p>
    <w:p w14:paraId="0CDB57DE">
      <w:pPr>
        <w:bidi w:val="0"/>
        <w:rPr>
          <w:rFonts w:hint="default"/>
          <w:color w:val="auto"/>
          <w:lang w:val="en-US" w:eastAsia="zh-CN"/>
        </w:rPr>
      </w:pPr>
      <w:r>
        <w:rPr>
          <w:rFonts w:hint="eastAsia"/>
          <w:color w:val="auto"/>
          <w:lang w:val="en-US" w:eastAsia="zh-CN"/>
        </w:rPr>
        <w:t>2025年6月17日，</w:t>
      </w:r>
      <w:r>
        <w:rPr>
          <w:rFonts w:hint="default"/>
          <w:color w:val="auto"/>
          <w:lang w:val="en-US" w:eastAsia="zh-CN"/>
        </w:rPr>
        <w:t>江西省坤育矿业有限公司组织相关</w:t>
      </w:r>
      <w:r>
        <w:rPr>
          <w:rFonts w:hint="eastAsia"/>
          <w:color w:val="auto"/>
          <w:lang w:val="en-US" w:eastAsia="zh-CN"/>
        </w:rPr>
        <w:t>单位开展了边坡滑坡事故应急演练，</w:t>
      </w:r>
      <w:r>
        <w:rPr>
          <w:rFonts w:hint="default"/>
          <w:color w:val="auto"/>
          <w:shd w:val="clear" w:color="auto" w:fill="auto"/>
          <w:lang w:val="en-US" w:eastAsia="zh-CN"/>
        </w:rPr>
        <w:t>演练结束后，进行了评估、总结，保留有影像资料和相关记录。</w:t>
      </w:r>
    </w:p>
    <w:p w14:paraId="4170871A">
      <w:pPr>
        <w:pStyle w:val="4"/>
        <w:bidi w:val="0"/>
        <w:rPr>
          <w:rFonts w:hint="default"/>
          <w:color w:val="auto"/>
          <w:lang w:val="en-US" w:eastAsia="zh-CN"/>
        </w:rPr>
      </w:pPr>
      <w:bookmarkStart w:id="181" w:name="_Toc31203"/>
      <w:bookmarkStart w:id="182" w:name="_Toc4929"/>
      <w:bookmarkStart w:id="183" w:name="_Toc30398"/>
      <w:r>
        <w:rPr>
          <w:rFonts w:hint="default"/>
          <w:color w:val="auto"/>
          <w:lang w:val="en-US" w:eastAsia="zh-CN"/>
        </w:rPr>
        <w:t>2.</w:t>
      </w:r>
      <w:r>
        <w:rPr>
          <w:rFonts w:hint="eastAsia"/>
          <w:color w:val="auto"/>
          <w:lang w:val="en-US" w:eastAsia="zh-CN"/>
        </w:rPr>
        <w:t>5</w:t>
      </w:r>
      <w:r>
        <w:rPr>
          <w:rFonts w:hint="default"/>
          <w:color w:val="auto"/>
          <w:lang w:val="en-US" w:eastAsia="zh-CN"/>
        </w:rPr>
        <w:t>.</w:t>
      </w:r>
      <w:r>
        <w:rPr>
          <w:rFonts w:hint="eastAsia"/>
          <w:color w:val="auto"/>
          <w:lang w:val="en-US" w:eastAsia="zh-CN"/>
        </w:rPr>
        <w:t xml:space="preserve">8 </w:t>
      </w:r>
      <w:r>
        <w:rPr>
          <w:rFonts w:hint="default"/>
          <w:color w:val="auto"/>
          <w:lang w:val="en-US" w:eastAsia="zh-CN"/>
        </w:rPr>
        <w:t>安全生产状况</w:t>
      </w:r>
      <w:bookmarkEnd w:id="181"/>
      <w:bookmarkEnd w:id="182"/>
      <w:bookmarkEnd w:id="183"/>
    </w:p>
    <w:p w14:paraId="2BA34F0D">
      <w:pPr>
        <w:bidi w:val="0"/>
        <w:rPr>
          <w:rFonts w:hint="default"/>
          <w:color w:val="auto"/>
          <w:lang w:val="en-US" w:eastAsia="zh-CN"/>
        </w:rPr>
      </w:pPr>
      <w:r>
        <w:rPr>
          <w:rFonts w:hint="eastAsia"/>
          <w:color w:val="auto"/>
          <w:lang w:val="en-US" w:eastAsia="zh-CN"/>
        </w:rPr>
        <w:t>江西省坤育矿业有限公司德安县聂桥镇刘家山矿区建筑用辉绿岩矿自上一轮取证三年以来，无重伤、死亡或其他重大安全生产事故。</w:t>
      </w:r>
    </w:p>
    <w:p w14:paraId="1B766954">
      <w:pPr>
        <w:pStyle w:val="4"/>
        <w:bidi w:val="0"/>
        <w:rPr>
          <w:rFonts w:hint="default"/>
          <w:color w:val="auto"/>
          <w:lang w:val="en-US" w:eastAsia="zh-CN"/>
        </w:rPr>
      </w:pPr>
      <w:bookmarkStart w:id="184" w:name="_Toc14031"/>
      <w:bookmarkStart w:id="185" w:name="_Toc1099"/>
      <w:bookmarkStart w:id="186" w:name="_Toc31273"/>
      <w:r>
        <w:rPr>
          <w:rFonts w:hint="eastAsia"/>
          <w:color w:val="auto"/>
          <w:lang w:val="en-US" w:eastAsia="zh-CN"/>
        </w:rPr>
        <w:t>2.5.9 外包施工单位</w:t>
      </w:r>
      <w:bookmarkEnd w:id="184"/>
      <w:bookmarkEnd w:id="185"/>
      <w:bookmarkEnd w:id="186"/>
    </w:p>
    <w:p w14:paraId="760B496E">
      <w:pPr>
        <w:bidi w:val="0"/>
        <w:rPr>
          <w:rFonts w:hint="default"/>
          <w:b w:val="0"/>
          <w:bCs w:val="0"/>
          <w:color w:val="auto"/>
          <w:lang w:val="en-US" w:eastAsia="zh-CN"/>
        </w:rPr>
      </w:pPr>
      <w:r>
        <w:rPr>
          <w:rFonts w:hint="eastAsia"/>
          <w:b w:val="0"/>
          <w:bCs w:val="0"/>
          <w:color w:val="auto"/>
          <w:lang w:val="en-US" w:eastAsia="zh-CN"/>
        </w:rPr>
        <w:t>江西省坤育矿业有限公司将爆破委托给了九江市泰安爆破工程有限公司，并签订了</w:t>
      </w:r>
      <w:r>
        <w:rPr>
          <w:rFonts w:hint="default"/>
          <w:b w:val="0"/>
          <w:bCs w:val="0"/>
          <w:color w:val="auto"/>
          <w:lang w:val="en-US" w:eastAsia="zh-CN"/>
        </w:rPr>
        <w:t>爆破协议</w:t>
      </w:r>
      <w:r>
        <w:rPr>
          <w:rFonts w:hint="eastAsia"/>
          <w:b w:val="0"/>
          <w:bCs w:val="0"/>
          <w:color w:val="auto"/>
          <w:lang w:val="en-US" w:eastAsia="zh-CN"/>
        </w:rPr>
        <w:t>书和安全生产管理协议。</w:t>
      </w:r>
    </w:p>
    <w:p w14:paraId="788481FA">
      <w:pPr>
        <w:bidi w:val="0"/>
        <w:rPr>
          <w:rFonts w:hint="eastAsia"/>
          <w:color w:val="auto"/>
          <w:lang w:val="en-US" w:eastAsia="zh-CN"/>
        </w:rPr>
      </w:pPr>
      <w:r>
        <w:rPr>
          <w:rFonts w:hint="eastAsia"/>
          <w:color w:val="auto"/>
          <w:lang w:val="en-US" w:eastAsia="zh-CN"/>
        </w:rPr>
        <w:t>九江市泰安爆破工程有限公司位于江西省九江市浔阳区长虹大道26号香榭丽舍第五栋二单元202室，法定代表人为文镇军，于2025年7月29日取得了江西省公安厅签发的《爆破作业单位许可证（营业性）》，编号：3600001300217，技术负责人：付勇，资质等级：二级，从业范围：设计施工、安全评估、安全监理，有效期至：2030年8月7日。</w:t>
      </w:r>
    </w:p>
    <w:p w14:paraId="3289C692">
      <w:pPr>
        <w:pStyle w:val="3"/>
        <w:bidi w:val="0"/>
        <w:rPr>
          <w:rFonts w:hint="default"/>
          <w:color w:val="auto"/>
          <w:lang w:val="en-US" w:eastAsia="zh-CN"/>
        </w:rPr>
      </w:pPr>
      <w:bookmarkStart w:id="187" w:name="_Toc14637"/>
      <w:bookmarkStart w:id="188" w:name="_Toc23830"/>
      <w:bookmarkStart w:id="189" w:name="_Toc13497"/>
      <w:r>
        <w:rPr>
          <w:rFonts w:hint="eastAsia"/>
          <w:color w:val="auto"/>
          <w:lang w:val="en-US" w:eastAsia="zh-CN"/>
        </w:rPr>
        <w:t>2.6 隐蔽治灾因素普查</w:t>
      </w:r>
      <w:bookmarkEnd w:id="187"/>
      <w:bookmarkEnd w:id="188"/>
      <w:bookmarkEnd w:id="189"/>
    </w:p>
    <w:p w14:paraId="2B629C7F">
      <w:pPr>
        <w:rPr>
          <w:rFonts w:hint="default"/>
          <w:color w:val="auto"/>
          <w:lang w:val="en-US" w:eastAsia="zh-CN"/>
        </w:rPr>
      </w:pPr>
      <w:r>
        <w:rPr>
          <w:rFonts w:hint="default"/>
          <w:color w:val="auto"/>
          <w:lang w:val="en-US" w:eastAsia="zh-CN"/>
        </w:rPr>
        <w:t>江西省坤育矿业有限公司目前正在准备</w:t>
      </w:r>
      <w:r>
        <w:rPr>
          <w:rFonts w:hint="eastAsia"/>
          <w:color w:val="auto"/>
          <w:lang w:val="en-US" w:eastAsia="zh-CN"/>
        </w:rPr>
        <w:t>德安县聂桥镇刘家山矿区建筑用辉绿岩矿</w:t>
      </w:r>
      <w:r>
        <w:rPr>
          <w:rFonts w:hint="default"/>
          <w:color w:val="auto"/>
          <w:lang w:val="en-US" w:eastAsia="zh-CN"/>
        </w:rPr>
        <w:t>隐蔽致灾因素普查工作，与相关单位恰谈签订合同中。</w:t>
      </w:r>
    </w:p>
    <w:p w14:paraId="4396910B">
      <w:pPr>
        <w:bidi w:val="0"/>
        <w:rPr>
          <w:rFonts w:hint="eastAsia"/>
          <w:color w:val="auto"/>
          <w:lang w:val="en-US" w:eastAsia="zh-CN"/>
        </w:rPr>
      </w:pPr>
    </w:p>
    <w:p w14:paraId="4EE20531">
      <w:pPr>
        <w:bidi w:val="0"/>
        <w:rPr>
          <w:rFonts w:hint="eastAsia"/>
          <w:color w:val="auto"/>
          <w:lang w:val="en-US" w:eastAsia="zh-CN"/>
        </w:rPr>
      </w:pPr>
    </w:p>
    <w:p w14:paraId="20001F32">
      <w:pPr>
        <w:bidi w:val="0"/>
        <w:rPr>
          <w:rFonts w:hint="default"/>
          <w:color w:val="auto"/>
          <w:lang w:val="en-US" w:eastAsia="zh-CN"/>
        </w:rPr>
        <w:sectPr>
          <w:footerReference r:id="rId7" w:type="default"/>
          <w:type w:val="continuous"/>
          <w:pgSz w:w="11906" w:h="16839"/>
          <w:pgMar w:top="1417" w:right="1417" w:bottom="1417" w:left="1417" w:header="850" w:footer="992" w:gutter="0"/>
          <w:pgNumType w:fmt="decimal" w:start="1"/>
          <w:cols w:space="425" w:num="1"/>
          <w:rtlGutter w:val="0"/>
          <w:docGrid w:linePitch="312" w:charSpace="0"/>
        </w:sectPr>
      </w:pPr>
    </w:p>
    <w:p w14:paraId="0C7F2991">
      <w:pPr>
        <w:pStyle w:val="2"/>
        <w:numPr>
          <w:ilvl w:val="0"/>
          <w:numId w:val="1"/>
        </w:numPr>
        <w:bidi w:val="0"/>
        <w:ind w:left="0" w:leftChars="0" w:firstLine="0" w:firstLineChars="0"/>
        <w:rPr>
          <w:rFonts w:hint="default" w:ascii="Times New Roman" w:hAnsi="Times New Roman" w:cs="Times New Roman"/>
          <w:color w:val="auto"/>
          <w:lang w:val="en-US" w:eastAsia="zh-CN"/>
        </w:rPr>
      </w:pPr>
      <w:bookmarkStart w:id="190" w:name="_Toc32209"/>
      <w:bookmarkStart w:id="191" w:name="_Toc24994"/>
      <w:bookmarkStart w:id="192" w:name="_Toc10714"/>
      <w:r>
        <w:rPr>
          <w:rFonts w:hint="default" w:ascii="Times New Roman" w:hAnsi="Times New Roman" w:cs="Times New Roman"/>
          <w:color w:val="auto"/>
          <w:lang w:val="en-US" w:eastAsia="zh-CN"/>
        </w:rPr>
        <w:t>危险、有害因素辨识与分析</w:t>
      </w:r>
      <w:bookmarkEnd w:id="190"/>
      <w:bookmarkEnd w:id="191"/>
      <w:bookmarkEnd w:id="192"/>
    </w:p>
    <w:p w14:paraId="6EDC1755">
      <w:pPr>
        <w:bidi w:val="0"/>
        <w:rPr>
          <w:rFonts w:hint="default"/>
          <w:color w:val="auto"/>
          <w:lang w:val="en-US" w:eastAsia="zh-CN"/>
        </w:rPr>
      </w:pPr>
      <w:r>
        <w:rPr>
          <w:rFonts w:hint="default"/>
          <w:color w:val="auto"/>
          <w:lang w:val="en-US" w:eastAsia="zh-CN"/>
        </w:rPr>
        <w:t>危险因素是指能对人造成伤亡或对物造成突发性损坏的因素</w:t>
      </w:r>
      <w:r>
        <w:rPr>
          <w:rFonts w:hint="eastAsia"/>
          <w:color w:val="auto"/>
          <w:lang w:val="en-US" w:eastAsia="zh-CN"/>
        </w:rPr>
        <w:t>，</w:t>
      </w:r>
      <w:r>
        <w:rPr>
          <w:rFonts w:hint="default"/>
          <w:color w:val="auto"/>
          <w:lang w:val="en-US" w:eastAsia="zh-CN"/>
        </w:rPr>
        <w:t>有害因素是指能影响人的身体健康、导致疾病或对物造成慢性损害的因素。所有的危险、有害因素尽管其表现形式不同，但从本质上讲，之所以能造成危险、有害的后果，都归结为存在危险有害物质、能量和危险有害物质、能量失去控制两方面因素的综合作用，并导致危险有害物质的泄漏、散发和能量的意外释放。因此，存在危险有害物质，能量失去控制是危险、有害因素转为事故的根本原因。</w:t>
      </w:r>
    </w:p>
    <w:p w14:paraId="3207E6BC">
      <w:pPr>
        <w:bidi w:val="0"/>
        <w:rPr>
          <w:rFonts w:hint="default"/>
          <w:color w:val="auto"/>
          <w:lang w:val="en-US" w:eastAsia="zh-CN"/>
        </w:rPr>
      </w:pPr>
      <w:r>
        <w:rPr>
          <w:rFonts w:hint="default"/>
          <w:color w:val="auto"/>
          <w:lang w:val="en-US" w:eastAsia="zh-CN"/>
        </w:rPr>
        <w:t>危险有害物质和能量失控主要体现在人的不安全行为、物的不安全状态和管理缺陷等三个方面。</w:t>
      </w:r>
    </w:p>
    <w:p w14:paraId="457065FF">
      <w:pPr>
        <w:bidi w:val="0"/>
        <w:rPr>
          <w:rFonts w:hint="default"/>
          <w:color w:val="auto"/>
          <w:lang w:val="en-US" w:eastAsia="zh-CN"/>
        </w:rPr>
      </w:pPr>
      <w:r>
        <w:rPr>
          <w:rFonts w:hint="default"/>
          <w:color w:val="auto"/>
          <w:lang w:val="en-US" w:eastAsia="zh-CN"/>
        </w:rPr>
        <w:t>按照《企业职工伤亡事故分类》，</w:t>
      </w:r>
      <w:r>
        <w:rPr>
          <w:rFonts w:hint="eastAsia"/>
          <w:color w:val="auto"/>
          <w:lang w:val="en-US" w:eastAsia="zh-CN"/>
        </w:rPr>
        <w:t>通过对项目的现场调查和资料收集，分析研究矿山提供的相关资料及图纸，针对项目生产过程中的生产工艺流程、作业环境条件、作业方式、运输过程、使用的主要设备装置、原材料、产品物质特性及周围环境、水文地质、工程地质等特点，对危险、有类因素进行识别。</w:t>
      </w:r>
    </w:p>
    <w:p w14:paraId="7112CCBA">
      <w:pPr>
        <w:pStyle w:val="3"/>
        <w:bidi w:val="0"/>
        <w:rPr>
          <w:rFonts w:hint="default"/>
          <w:color w:val="auto"/>
          <w:lang w:val="en-US" w:eastAsia="zh-CN"/>
        </w:rPr>
      </w:pPr>
      <w:bookmarkStart w:id="193" w:name="_Toc29189"/>
      <w:bookmarkStart w:id="194" w:name="_Toc8418"/>
      <w:bookmarkStart w:id="195" w:name="_Toc1484"/>
      <w:r>
        <w:rPr>
          <w:rFonts w:hint="default"/>
          <w:color w:val="auto"/>
          <w:lang w:val="en-US" w:eastAsia="zh-CN"/>
        </w:rPr>
        <w:t>3.1 危险因素辨识</w:t>
      </w:r>
      <w:bookmarkEnd w:id="193"/>
      <w:bookmarkEnd w:id="194"/>
      <w:bookmarkEnd w:id="195"/>
    </w:p>
    <w:p w14:paraId="2FA9D933">
      <w:pPr>
        <w:pStyle w:val="4"/>
        <w:bidi w:val="0"/>
        <w:rPr>
          <w:rFonts w:hint="default"/>
          <w:color w:val="auto"/>
          <w:lang w:val="en-US" w:eastAsia="zh-CN"/>
        </w:rPr>
      </w:pPr>
      <w:bookmarkStart w:id="196" w:name="_Toc10263"/>
      <w:bookmarkStart w:id="197" w:name="_Toc5771"/>
      <w:bookmarkStart w:id="198" w:name="_Toc12891"/>
      <w:r>
        <w:rPr>
          <w:rFonts w:hint="default"/>
          <w:color w:val="auto"/>
          <w:lang w:val="en-US" w:eastAsia="zh-CN"/>
        </w:rPr>
        <w:t>3.1.1 火药爆炸</w:t>
      </w:r>
      <w:bookmarkEnd w:id="196"/>
      <w:bookmarkEnd w:id="197"/>
      <w:bookmarkEnd w:id="198"/>
    </w:p>
    <w:p w14:paraId="1D032DF7">
      <w:pPr>
        <w:bidi w:val="0"/>
        <w:rPr>
          <w:rFonts w:hint="default"/>
          <w:color w:val="auto"/>
          <w:lang w:val="en-US" w:eastAsia="zh-CN"/>
        </w:rPr>
      </w:pPr>
      <w:r>
        <w:rPr>
          <w:rFonts w:hint="default"/>
          <w:color w:val="auto"/>
          <w:lang w:val="en-US" w:eastAsia="zh-CN"/>
        </w:rPr>
        <w:t>矿山民用爆破物品是采掘过程中使用的主要材料</w:t>
      </w:r>
      <w:r>
        <w:rPr>
          <w:rFonts w:hint="eastAsia"/>
          <w:color w:val="auto"/>
          <w:lang w:val="en-US" w:eastAsia="zh-CN"/>
        </w:rPr>
        <w:t>，</w:t>
      </w:r>
      <w:r>
        <w:rPr>
          <w:rFonts w:hint="default"/>
          <w:color w:val="auto"/>
          <w:lang w:val="en-US" w:eastAsia="zh-CN"/>
        </w:rPr>
        <w:t>在运输、储存、爆破作业过程中，均有发生火药爆炸的可能性。存在火药爆炸场所有</w:t>
      </w:r>
      <w:r>
        <w:rPr>
          <w:rFonts w:hint="eastAsia"/>
          <w:color w:val="auto"/>
          <w:lang w:val="en-US" w:eastAsia="zh-CN"/>
        </w:rPr>
        <w:t>：</w:t>
      </w:r>
      <w:r>
        <w:rPr>
          <w:rFonts w:hint="default"/>
          <w:color w:val="auto"/>
          <w:lang w:val="en-US" w:eastAsia="zh-CN"/>
        </w:rPr>
        <w:t>1</w:t>
      </w:r>
      <w:r>
        <w:rPr>
          <w:rFonts w:hint="eastAsia"/>
          <w:color w:val="auto"/>
          <w:lang w:val="en-US" w:eastAsia="zh-CN"/>
        </w:rPr>
        <w:t>）</w:t>
      </w:r>
      <w:r>
        <w:rPr>
          <w:rFonts w:hint="default"/>
          <w:color w:val="auto"/>
          <w:lang w:val="en-US" w:eastAsia="zh-CN"/>
        </w:rPr>
        <w:t>民爆器材的搬运过程</w:t>
      </w:r>
      <w:r>
        <w:rPr>
          <w:rFonts w:hint="eastAsia"/>
          <w:color w:val="auto"/>
          <w:lang w:val="en-US" w:eastAsia="zh-CN"/>
        </w:rPr>
        <w:t>；</w:t>
      </w:r>
      <w:r>
        <w:rPr>
          <w:rFonts w:hint="default"/>
          <w:color w:val="auto"/>
          <w:lang w:val="en-US" w:eastAsia="zh-CN"/>
        </w:rPr>
        <w:t>2</w:t>
      </w:r>
      <w:r>
        <w:rPr>
          <w:rFonts w:hint="eastAsia"/>
          <w:color w:val="auto"/>
          <w:lang w:val="en-US" w:eastAsia="zh-CN"/>
        </w:rPr>
        <w:t>）</w:t>
      </w:r>
      <w:r>
        <w:rPr>
          <w:rFonts w:hint="default"/>
          <w:color w:val="auto"/>
          <w:lang w:val="en-US" w:eastAsia="zh-CN"/>
        </w:rPr>
        <w:t>民爆器材临时存放点</w:t>
      </w:r>
      <w:r>
        <w:rPr>
          <w:rFonts w:hint="eastAsia"/>
          <w:color w:val="auto"/>
          <w:lang w:val="en-US" w:eastAsia="zh-CN"/>
        </w:rPr>
        <w:t>；</w:t>
      </w:r>
      <w:r>
        <w:rPr>
          <w:rFonts w:hint="default"/>
          <w:color w:val="auto"/>
          <w:lang w:val="en-US" w:eastAsia="zh-CN"/>
        </w:rPr>
        <w:t>3</w:t>
      </w:r>
      <w:r>
        <w:rPr>
          <w:rFonts w:hint="eastAsia"/>
          <w:color w:val="auto"/>
          <w:lang w:val="en-US" w:eastAsia="zh-CN"/>
        </w:rPr>
        <w:t>）</w:t>
      </w:r>
      <w:r>
        <w:rPr>
          <w:rFonts w:hint="default"/>
          <w:color w:val="auto"/>
          <w:lang w:val="en-US" w:eastAsia="zh-CN"/>
        </w:rPr>
        <w:t>劣质爆破器材处理地点等。</w:t>
      </w:r>
    </w:p>
    <w:p w14:paraId="1F27B5D5">
      <w:pPr>
        <w:pStyle w:val="4"/>
        <w:bidi w:val="0"/>
        <w:rPr>
          <w:rFonts w:hint="default"/>
          <w:color w:val="auto"/>
          <w:lang w:val="en-US" w:eastAsia="zh-CN"/>
        </w:rPr>
      </w:pPr>
      <w:bookmarkStart w:id="199" w:name="_Toc13003"/>
      <w:bookmarkStart w:id="200" w:name="_Toc12422"/>
      <w:bookmarkStart w:id="201" w:name="_Toc173"/>
      <w:r>
        <w:rPr>
          <w:rFonts w:hint="default"/>
          <w:color w:val="auto"/>
          <w:lang w:val="en-US" w:eastAsia="zh-CN"/>
        </w:rPr>
        <w:t>3.1.2 放炮</w:t>
      </w:r>
      <w:bookmarkEnd w:id="199"/>
      <w:bookmarkEnd w:id="200"/>
      <w:bookmarkEnd w:id="201"/>
    </w:p>
    <w:p w14:paraId="40DC8DB1">
      <w:pPr>
        <w:bidi w:val="0"/>
        <w:rPr>
          <w:rFonts w:hint="default"/>
          <w:color w:val="auto"/>
          <w:lang w:val="en-US" w:eastAsia="zh-CN"/>
        </w:rPr>
      </w:pPr>
      <w:r>
        <w:rPr>
          <w:rFonts w:hint="default"/>
          <w:color w:val="auto"/>
          <w:lang w:val="en-US" w:eastAsia="zh-CN"/>
        </w:rPr>
        <w:t>爆破作业是矿山生产的重要生产工序，爆破产生的震动、冲击波和飞散物对人员、设备设施、构筑物等有可能造成伤害。</w:t>
      </w:r>
    </w:p>
    <w:p w14:paraId="3D6AD64E">
      <w:pPr>
        <w:bidi w:val="0"/>
        <w:rPr>
          <w:rFonts w:hint="default"/>
          <w:color w:val="auto"/>
          <w:lang w:val="en-US" w:eastAsia="zh-CN"/>
        </w:rPr>
      </w:pPr>
      <w:r>
        <w:rPr>
          <w:rFonts w:hint="default"/>
          <w:color w:val="auto"/>
          <w:lang w:val="en-US" w:eastAsia="zh-CN"/>
        </w:rPr>
        <w:t>1</w:t>
      </w:r>
      <w:r>
        <w:rPr>
          <w:rFonts w:hint="eastAsia"/>
          <w:color w:val="auto"/>
          <w:lang w:val="en-US" w:eastAsia="zh-CN"/>
        </w:rPr>
        <w:t xml:space="preserve">. </w:t>
      </w:r>
      <w:r>
        <w:rPr>
          <w:rFonts w:hint="default"/>
          <w:color w:val="auto"/>
          <w:lang w:val="en-US" w:eastAsia="zh-CN"/>
        </w:rPr>
        <w:t>产生爆破伤害的原因</w:t>
      </w:r>
    </w:p>
    <w:p w14:paraId="3A6851F4">
      <w:pPr>
        <w:bidi w:val="0"/>
        <w:rPr>
          <w:rFonts w:hint="default"/>
          <w:color w:val="auto"/>
          <w:lang w:val="en-US" w:eastAsia="zh-CN"/>
        </w:rPr>
      </w:pPr>
      <w:r>
        <w:rPr>
          <w:rFonts w:hint="eastAsia"/>
          <w:color w:val="auto"/>
          <w:lang w:val="en-US" w:eastAsia="zh-CN"/>
        </w:rPr>
        <w:t>（</w:t>
      </w:r>
      <w:r>
        <w:rPr>
          <w:rFonts w:hint="default"/>
          <w:color w:val="auto"/>
          <w:lang w:val="en-US" w:eastAsia="zh-CN"/>
        </w:rPr>
        <w:t>1</w:t>
      </w:r>
      <w:r>
        <w:rPr>
          <w:rFonts w:hint="eastAsia"/>
          <w:color w:val="auto"/>
          <w:lang w:val="en-US" w:eastAsia="zh-CN"/>
        </w:rPr>
        <w:t>）</w:t>
      </w:r>
      <w:r>
        <w:rPr>
          <w:rFonts w:hint="default"/>
          <w:color w:val="auto"/>
          <w:lang w:val="en-US" w:eastAsia="zh-CN"/>
        </w:rPr>
        <w:t>爆破警戒不严、信号不明、安全距离不够</w:t>
      </w:r>
      <w:r>
        <w:rPr>
          <w:rFonts w:hint="eastAsia"/>
          <w:color w:val="auto"/>
          <w:lang w:val="en-US" w:eastAsia="zh-CN"/>
        </w:rPr>
        <w:t>；</w:t>
      </w:r>
    </w:p>
    <w:p w14:paraId="16ED7350">
      <w:pPr>
        <w:bidi w:val="0"/>
        <w:rPr>
          <w:rFonts w:hint="default"/>
          <w:color w:val="auto"/>
          <w:lang w:val="en-US" w:eastAsia="zh-CN"/>
        </w:rPr>
      </w:pPr>
      <w:r>
        <w:rPr>
          <w:rFonts w:hint="eastAsia"/>
          <w:color w:val="auto"/>
          <w:lang w:val="en-US" w:eastAsia="zh-CN"/>
        </w:rPr>
        <w:t>（</w:t>
      </w:r>
      <w:r>
        <w:rPr>
          <w:rFonts w:hint="default"/>
          <w:color w:val="auto"/>
          <w:lang w:val="en-US" w:eastAsia="zh-CN"/>
        </w:rPr>
        <w:t>2</w:t>
      </w:r>
      <w:r>
        <w:rPr>
          <w:rFonts w:hint="eastAsia"/>
          <w:color w:val="auto"/>
          <w:lang w:val="en-US" w:eastAsia="zh-CN"/>
        </w:rPr>
        <w:t>）</w:t>
      </w:r>
      <w:r>
        <w:rPr>
          <w:rFonts w:hint="default"/>
          <w:color w:val="auto"/>
          <w:lang w:val="en-US" w:eastAsia="zh-CN"/>
        </w:rPr>
        <w:t>引爆时人员未来得及撒出爆破作业场所</w:t>
      </w:r>
      <w:r>
        <w:rPr>
          <w:rFonts w:hint="eastAsia"/>
          <w:color w:val="auto"/>
          <w:lang w:val="en-US" w:eastAsia="zh-CN"/>
        </w:rPr>
        <w:t>；</w:t>
      </w:r>
    </w:p>
    <w:p w14:paraId="2F84B496">
      <w:pPr>
        <w:bidi w:val="0"/>
        <w:rPr>
          <w:rFonts w:hint="default"/>
          <w:color w:val="auto"/>
          <w:lang w:val="en-US" w:eastAsia="zh-CN"/>
        </w:rPr>
      </w:pPr>
      <w:r>
        <w:rPr>
          <w:rFonts w:hint="eastAsia"/>
          <w:color w:val="auto"/>
          <w:lang w:val="en-US" w:eastAsia="zh-CN"/>
        </w:rPr>
        <w:t>（</w:t>
      </w:r>
      <w:r>
        <w:rPr>
          <w:rFonts w:hint="default"/>
          <w:color w:val="auto"/>
          <w:lang w:val="en-US" w:eastAsia="zh-CN"/>
        </w:rPr>
        <w:t>3</w:t>
      </w:r>
      <w:r>
        <w:rPr>
          <w:rFonts w:hint="eastAsia"/>
          <w:color w:val="auto"/>
          <w:lang w:val="en-US" w:eastAsia="zh-CN"/>
        </w:rPr>
        <w:t>）</w:t>
      </w:r>
      <w:r>
        <w:rPr>
          <w:rFonts w:hint="default"/>
          <w:color w:val="auto"/>
          <w:lang w:val="en-US" w:eastAsia="zh-CN"/>
        </w:rPr>
        <w:t>使用不合格爆破器材</w:t>
      </w:r>
      <w:r>
        <w:rPr>
          <w:rFonts w:hint="eastAsia"/>
          <w:color w:val="auto"/>
          <w:lang w:val="en-US" w:eastAsia="zh-CN"/>
        </w:rPr>
        <w:t>；</w:t>
      </w:r>
    </w:p>
    <w:p w14:paraId="59263DA2">
      <w:pPr>
        <w:bidi w:val="0"/>
        <w:rPr>
          <w:rFonts w:hint="default"/>
          <w:color w:val="auto"/>
          <w:lang w:val="en-US" w:eastAsia="zh-CN"/>
        </w:rPr>
      </w:pPr>
      <w:r>
        <w:rPr>
          <w:rFonts w:hint="eastAsia"/>
          <w:color w:val="auto"/>
          <w:lang w:val="en-US" w:eastAsia="zh-CN"/>
        </w:rPr>
        <w:t>（</w:t>
      </w:r>
      <w:r>
        <w:rPr>
          <w:rFonts w:hint="default"/>
          <w:color w:val="auto"/>
          <w:lang w:val="en-US" w:eastAsia="zh-CN"/>
        </w:rPr>
        <w:t>4</w:t>
      </w:r>
      <w:r>
        <w:rPr>
          <w:rFonts w:hint="eastAsia"/>
          <w:color w:val="auto"/>
          <w:lang w:val="en-US" w:eastAsia="zh-CN"/>
        </w:rPr>
        <w:t>）</w:t>
      </w:r>
      <w:r>
        <w:rPr>
          <w:rFonts w:hint="default"/>
          <w:color w:val="auto"/>
          <w:lang w:val="en-US" w:eastAsia="zh-CN"/>
        </w:rPr>
        <w:t>爆破后过早进入爆破工作面或看回火</w:t>
      </w:r>
      <w:r>
        <w:rPr>
          <w:rFonts w:hint="eastAsia"/>
          <w:color w:val="auto"/>
          <w:lang w:val="en-US" w:eastAsia="zh-CN"/>
        </w:rPr>
        <w:t>；</w:t>
      </w:r>
    </w:p>
    <w:p w14:paraId="5B9D1F6D">
      <w:pPr>
        <w:bidi w:val="0"/>
        <w:rPr>
          <w:rFonts w:hint="default"/>
          <w:color w:val="auto"/>
          <w:lang w:val="en-US" w:eastAsia="zh-CN"/>
        </w:rPr>
      </w:pPr>
      <w:r>
        <w:rPr>
          <w:rFonts w:hint="eastAsia"/>
          <w:color w:val="auto"/>
          <w:lang w:val="en-US" w:eastAsia="zh-CN"/>
        </w:rPr>
        <w:t>（</w:t>
      </w:r>
      <w:r>
        <w:rPr>
          <w:rFonts w:hint="default"/>
          <w:color w:val="auto"/>
          <w:lang w:val="en-US" w:eastAsia="zh-CN"/>
        </w:rPr>
        <w:t>5</w:t>
      </w:r>
      <w:r>
        <w:rPr>
          <w:rFonts w:hint="eastAsia"/>
          <w:color w:val="auto"/>
          <w:lang w:val="en-US" w:eastAsia="zh-CN"/>
        </w:rPr>
        <w:t>）</w:t>
      </w:r>
      <w:r>
        <w:rPr>
          <w:rFonts w:hint="default"/>
          <w:color w:val="auto"/>
          <w:lang w:val="en-US" w:eastAsia="zh-CN"/>
        </w:rPr>
        <w:t>杂散电流引发提前爆炸</w:t>
      </w:r>
      <w:r>
        <w:rPr>
          <w:rFonts w:hint="eastAsia"/>
          <w:color w:val="auto"/>
          <w:lang w:val="en-US" w:eastAsia="zh-CN"/>
        </w:rPr>
        <w:t>；</w:t>
      </w:r>
    </w:p>
    <w:p w14:paraId="2FA4699D">
      <w:pPr>
        <w:bidi w:val="0"/>
        <w:rPr>
          <w:rFonts w:hint="default"/>
          <w:color w:val="auto"/>
          <w:lang w:val="en-US" w:eastAsia="zh-CN"/>
        </w:rPr>
      </w:pPr>
      <w:r>
        <w:rPr>
          <w:rFonts w:hint="eastAsia"/>
          <w:color w:val="auto"/>
          <w:lang w:val="en-US" w:eastAsia="zh-CN"/>
        </w:rPr>
        <w:t>（</w:t>
      </w:r>
      <w:r>
        <w:rPr>
          <w:rFonts w:hint="default"/>
          <w:color w:val="auto"/>
          <w:lang w:val="en-US" w:eastAsia="zh-CN"/>
        </w:rPr>
        <w:t>6</w:t>
      </w:r>
      <w:r>
        <w:rPr>
          <w:rFonts w:hint="eastAsia"/>
          <w:color w:val="auto"/>
          <w:lang w:val="en-US" w:eastAsia="zh-CN"/>
        </w:rPr>
        <w:t>）</w:t>
      </w:r>
      <w:r>
        <w:rPr>
          <w:rFonts w:hint="default"/>
          <w:color w:val="auto"/>
          <w:lang w:val="en-US" w:eastAsia="zh-CN"/>
        </w:rPr>
        <w:t>非爆破专业人员作业、爆破作业人员违章</w:t>
      </w:r>
      <w:r>
        <w:rPr>
          <w:rFonts w:hint="eastAsia"/>
          <w:color w:val="auto"/>
          <w:lang w:val="en-US" w:eastAsia="zh-CN"/>
        </w:rPr>
        <w:t>。</w:t>
      </w:r>
    </w:p>
    <w:p w14:paraId="31D09ACA">
      <w:pPr>
        <w:bidi w:val="0"/>
        <w:rPr>
          <w:rFonts w:hint="default"/>
          <w:color w:val="auto"/>
          <w:lang w:val="en-US" w:eastAsia="zh-CN"/>
        </w:rPr>
      </w:pPr>
      <w:r>
        <w:rPr>
          <w:rFonts w:hint="default"/>
          <w:color w:val="auto"/>
          <w:lang w:val="en-US" w:eastAsia="zh-CN"/>
        </w:rPr>
        <w:t>2</w:t>
      </w:r>
      <w:r>
        <w:rPr>
          <w:rFonts w:hint="eastAsia"/>
          <w:color w:val="auto"/>
          <w:lang w:val="en-US" w:eastAsia="zh-CN"/>
        </w:rPr>
        <w:t xml:space="preserve">. </w:t>
      </w:r>
      <w:r>
        <w:rPr>
          <w:rFonts w:hint="default"/>
          <w:color w:val="auto"/>
          <w:lang w:val="en-US" w:eastAsia="zh-CN"/>
        </w:rPr>
        <w:t>爆破伤害的场所</w:t>
      </w:r>
    </w:p>
    <w:p w14:paraId="4637991E">
      <w:pPr>
        <w:bidi w:val="0"/>
        <w:rPr>
          <w:rFonts w:hint="default"/>
          <w:color w:val="auto"/>
          <w:lang w:val="en-US" w:eastAsia="zh-CN"/>
        </w:rPr>
      </w:pPr>
      <w:r>
        <w:rPr>
          <w:rFonts w:hint="default"/>
          <w:color w:val="auto"/>
          <w:lang w:val="en-US" w:eastAsia="zh-CN"/>
        </w:rPr>
        <w:t>放炮造成的伤害主要发生在矿山采掘的爆破作业场所。</w:t>
      </w:r>
    </w:p>
    <w:p w14:paraId="76A61B18">
      <w:pPr>
        <w:pStyle w:val="4"/>
        <w:bidi w:val="0"/>
        <w:rPr>
          <w:rFonts w:hint="default"/>
          <w:color w:val="auto"/>
          <w:lang w:val="en-US" w:eastAsia="zh-CN"/>
        </w:rPr>
      </w:pPr>
      <w:bookmarkStart w:id="202" w:name="_Toc7024"/>
      <w:bookmarkStart w:id="203" w:name="_Toc11772"/>
      <w:bookmarkStart w:id="204" w:name="_Toc24581"/>
      <w:r>
        <w:rPr>
          <w:rFonts w:hint="default"/>
          <w:color w:val="auto"/>
          <w:lang w:val="en-US" w:eastAsia="zh-CN"/>
        </w:rPr>
        <w:t>3.1.3 容器爆炸</w:t>
      </w:r>
      <w:bookmarkEnd w:id="202"/>
      <w:bookmarkEnd w:id="203"/>
      <w:bookmarkEnd w:id="204"/>
    </w:p>
    <w:p w14:paraId="33C30663">
      <w:pPr>
        <w:bidi w:val="0"/>
        <w:rPr>
          <w:rFonts w:hint="default"/>
          <w:color w:val="auto"/>
          <w:lang w:val="en-US" w:eastAsia="zh-CN"/>
        </w:rPr>
      </w:pPr>
      <w:r>
        <w:rPr>
          <w:rFonts w:hint="default"/>
          <w:color w:val="auto"/>
          <w:lang w:val="en-US" w:eastAsia="zh-CN"/>
        </w:rPr>
        <w:t>输送生产用压缩动力空气的管路和受压容器在下列情况下可能发生爆炸</w:t>
      </w:r>
      <w:r>
        <w:rPr>
          <w:rFonts w:hint="eastAsia"/>
          <w:color w:val="auto"/>
          <w:lang w:val="en-US" w:eastAsia="zh-CN"/>
        </w:rPr>
        <w:t>：</w:t>
      </w:r>
      <w:r>
        <w:rPr>
          <w:rFonts w:hint="default"/>
          <w:color w:val="auto"/>
          <w:lang w:val="en-US" w:eastAsia="zh-CN"/>
        </w:rPr>
        <w:t>1</w:t>
      </w:r>
      <w:r>
        <w:rPr>
          <w:rFonts w:hint="eastAsia"/>
          <w:color w:val="auto"/>
          <w:lang w:val="en-US" w:eastAsia="zh-CN"/>
        </w:rPr>
        <w:t>）</w:t>
      </w:r>
      <w:r>
        <w:rPr>
          <w:rFonts w:hint="default"/>
          <w:color w:val="auto"/>
          <w:lang w:val="en-US" w:eastAsia="zh-CN"/>
        </w:rPr>
        <w:t>空气压力超压</w:t>
      </w:r>
      <w:r>
        <w:rPr>
          <w:rFonts w:hint="eastAsia"/>
          <w:color w:val="auto"/>
          <w:lang w:val="en-US" w:eastAsia="zh-CN"/>
        </w:rPr>
        <w:t>；</w:t>
      </w:r>
      <w:r>
        <w:rPr>
          <w:rFonts w:hint="default"/>
          <w:color w:val="auto"/>
          <w:lang w:val="en-US" w:eastAsia="zh-CN"/>
        </w:rPr>
        <w:t>2</w:t>
      </w:r>
      <w:r>
        <w:rPr>
          <w:rFonts w:hint="eastAsia"/>
          <w:color w:val="auto"/>
          <w:lang w:val="en-US" w:eastAsia="zh-CN"/>
        </w:rPr>
        <w:t>）</w:t>
      </w:r>
      <w:r>
        <w:rPr>
          <w:rFonts w:hint="default"/>
          <w:color w:val="auto"/>
          <w:lang w:val="en-US" w:eastAsia="zh-CN"/>
        </w:rPr>
        <w:t>使用时间太长或操作造成强度下降</w:t>
      </w:r>
      <w:r>
        <w:rPr>
          <w:rFonts w:hint="eastAsia"/>
          <w:color w:val="auto"/>
          <w:lang w:val="en-US" w:eastAsia="zh-CN"/>
        </w:rPr>
        <w:t>；</w:t>
      </w:r>
      <w:r>
        <w:rPr>
          <w:rFonts w:hint="default"/>
          <w:color w:val="auto"/>
          <w:lang w:val="en-US" w:eastAsia="zh-CN"/>
        </w:rPr>
        <w:t>3</w:t>
      </w:r>
      <w:r>
        <w:rPr>
          <w:rFonts w:hint="eastAsia"/>
          <w:color w:val="auto"/>
          <w:lang w:val="en-US" w:eastAsia="zh-CN"/>
        </w:rPr>
        <w:t>）</w:t>
      </w:r>
      <w:r>
        <w:rPr>
          <w:rFonts w:hint="default"/>
          <w:color w:val="auto"/>
          <w:lang w:val="en-US" w:eastAsia="zh-CN"/>
        </w:rPr>
        <w:t>安全阀、压力表失效</w:t>
      </w:r>
      <w:r>
        <w:rPr>
          <w:rFonts w:hint="eastAsia"/>
          <w:color w:val="auto"/>
          <w:lang w:val="en-US" w:eastAsia="zh-CN"/>
        </w:rPr>
        <w:t>；</w:t>
      </w:r>
      <w:r>
        <w:rPr>
          <w:rFonts w:hint="default"/>
          <w:color w:val="auto"/>
          <w:lang w:val="en-US" w:eastAsia="zh-CN"/>
        </w:rPr>
        <w:t>4</w:t>
      </w:r>
      <w:r>
        <w:rPr>
          <w:rFonts w:hint="eastAsia"/>
          <w:color w:val="auto"/>
          <w:lang w:val="en-US" w:eastAsia="zh-CN"/>
        </w:rPr>
        <w:t>）</w:t>
      </w:r>
      <w:r>
        <w:rPr>
          <w:rFonts w:hint="default"/>
          <w:color w:val="auto"/>
          <w:lang w:val="en-US" w:eastAsia="zh-CN"/>
        </w:rPr>
        <w:t>违章焊接受压容器或压力管道等。</w:t>
      </w:r>
    </w:p>
    <w:p w14:paraId="718C269E">
      <w:pPr>
        <w:pStyle w:val="4"/>
        <w:bidi w:val="0"/>
        <w:rPr>
          <w:rFonts w:hint="default"/>
          <w:color w:val="auto"/>
          <w:lang w:val="en-US" w:eastAsia="zh-CN"/>
        </w:rPr>
      </w:pPr>
      <w:bookmarkStart w:id="205" w:name="_Toc18968"/>
      <w:bookmarkStart w:id="206" w:name="_Toc415"/>
      <w:bookmarkStart w:id="207" w:name="_Toc15305"/>
      <w:r>
        <w:rPr>
          <w:rFonts w:hint="default"/>
          <w:color w:val="auto"/>
          <w:lang w:val="en-US" w:eastAsia="zh-CN"/>
        </w:rPr>
        <w:t>3.1.4 坍塌</w:t>
      </w:r>
      <w:bookmarkEnd w:id="205"/>
      <w:bookmarkEnd w:id="206"/>
      <w:bookmarkEnd w:id="207"/>
    </w:p>
    <w:p w14:paraId="46CC5839">
      <w:pPr>
        <w:bidi w:val="0"/>
        <w:rPr>
          <w:rFonts w:hint="eastAsia"/>
          <w:color w:val="auto"/>
          <w:lang w:val="en-US" w:eastAsia="zh-CN"/>
        </w:rPr>
      </w:pPr>
      <w:r>
        <w:rPr>
          <w:rFonts w:hint="default"/>
          <w:color w:val="auto"/>
          <w:lang w:val="en-US" w:eastAsia="zh-CN"/>
        </w:rPr>
        <w:t>是指在外力或重力作用下，超过自身的强度极限或因结构稳定性破坏而造成的事故。</w:t>
      </w:r>
      <w:r>
        <w:rPr>
          <w:rFonts w:hint="eastAsia"/>
          <w:color w:val="auto"/>
          <w:lang w:val="en-US" w:eastAsia="zh-CN"/>
        </w:rPr>
        <w:t>可能</w:t>
      </w:r>
      <w:r>
        <w:rPr>
          <w:rFonts w:hint="default"/>
          <w:color w:val="auto"/>
          <w:lang w:val="en-US" w:eastAsia="zh-CN"/>
        </w:rPr>
        <w:t>存在的坍塌的场所有</w:t>
      </w:r>
      <w:r>
        <w:rPr>
          <w:rFonts w:hint="eastAsia"/>
          <w:color w:val="auto"/>
          <w:lang w:val="en-US" w:eastAsia="zh-CN"/>
        </w:rPr>
        <w:t>：1）违章超高堆放物质处；2）矿山开采工作区。</w:t>
      </w:r>
    </w:p>
    <w:p w14:paraId="0E388B27">
      <w:pPr>
        <w:pStyle w:val="4"/>
        <w:bidi w:val="0"/>
        <w:rPr>
          <w:rFonts w:hint="default"/>
          <w:color w:val="auto"/>
          <w:lang w:val="en-US" w:eastAsia="zh-CN"/>
        </w:rPr>
      </w:pPr>
      <w:bookmarkStart w:id="208" w:name="_Toc3979"/>
      <w:bookmarkStart w:id="209" w:name="_Toc24677"/>
      <w:bookmarkStart w:id="210" w:name="_Toc5311"/>
      <w:r>
        <w:rPr>
          <w:rFonts w:hint="default"/>
          <w:color w:val="auto"/>
          <w:lang w:val="en-US" w:eastAsia="zh-CN"/>
        </w:rPr>
        <w:t>3.1.5 滑坡</w:t>
      </w:r>
      <w:bookmarkEnd w:id="208"/>
      <w:bookmarkEnd w:id="209"/>
      <w:bookmarkEnd w:id="210"/>
    </w:p>
    <w:p w14:paraId="7870B99F">
      <w:pPr>
        <w:bidi w:val="0"/>
        <w:rPr>
          <w:rFonts w:hint="default"/>
          <w:color w:val="auto"/>
          <w:lang w:val="en-US" w:eastAsia="zh-CN"/>
        </w:rPr>
      </w:pPr>
      <w:r>
        <w:rPr>
          <w:rFonts w:hint="default"/>
          <w:color w:val="auto"/>
          <w:lang w:val="en-US" w:eastAsia="zh-CN"/>
        </w:rPr>
        <w:t>滑坡是指岩体或土地在重力或外作用下沿矿体滑面斜行移动或滑落的过程。滑坡事故可以引起整个阶段，甚至几个阶段的滑坡，能够毁灭矿山，造成难以估量的损失。</w:t>
      </w:r>
    </w:p>
    <w:p w14:paraId="3662CF58">
      <w:pPr>
        <w:bidi w:val="0"/>
        <w:rPr>
          <w:rFonts w:hint="default"/>
          <w:color w:val="auto"/>
          <w:lang w:val="en-US" w:eastAsia="zh-CN"/>
        </w:rPr>
      </w:pPr>
      <w:r>
        <w:rPr>
          <w:rFonts w:hint="default"/>
          <w:color w:val="auto"/>
          <w:lang w:val="en-US" w:eastAsia="zh-CN"/>
        </w:rPr>
        <w:t>造成滑坡事故的主要原因有：1）地质构造、岩石物理力学性质；2）水文地质条件；3）开采技术条件的影响：主要有开采程序，推进方向，边坡形式和角度等；4）当边坡角太陡时，岩体中原有结构弱面，边坡底部采空，岩层自身的抗剪强度不能抵抗滑坡体向下滑动的重力，就会发生沿层面滑落现象。</w:t>
      </w:r>
    </w:p>
    <w:p w14:paraId="71CC05C1">
      <w:pPr>
        <w:bidi w:val="0"/>
        <w:rPr>
          <w:rFonts w:hint="default"/>
          <w:color w:val="auto"/>
          <w:lang w:val="en-US" w:eastAsia="zh-CN"/>
        </w:rPr>
      </w:pPr>
      <w:r>
        <w:rPr>
          <w:rFonts w:hint="default"/>
          <w:color w:val="auto"/>
          <w:lang w:val="en-US" w:eastAsia="zh-CN"/>
        </w:rPr>
        <w:t>存在滑坡危险的场所有：1）山体表面的覆盖层；2）台阶边坡；3）排土边坡；4）道路边坡；5）周围山体边坡。</w:t>
      </w:r>
    </w:p>
    <w:p w14:paraId="32835CA7">
      <w:pPr>
        <w:pStyle w:val="4"/>
        <w:bidi w:val="0"/>
        <w:rPr>
          <w:rFonts w:hint="default"/>
          <w:color w:val="auto"/>
          <w:lang w:val="en-US" w:eastAsia="zh-CN"/>
        </w:rPr>
      </w:pPr>
      <w:bookmarkStart w:id="211" w:name="_Toc6906"/>
      <w:bookmarkStart w:id="212" w:name="_Toc26976"/>
      <w:bookmarkStart w:id="213" w:name="_Toc6921"/>
      <w:r>
        <w:rPr>
          <w:rFonts w:hint="default"/>
          <w:color w:val="auto"/>
          <w:lang w:val="en-US" w:eastAsia="zh-CN"/>
        </w:rPr>
        <w:t>3.1.6 机械伤害</w:t>
      </w:r>
      <w:bookmarkEnd w:id="211"/>
      <w:bookmarkEnd w:id="212"/>
      <w:bookmarkEnd w:id="213"/>
    </w:p>
    <w:p w14:paraId="69EBAA7E">
      <w:pPr>
        <w:rPr>
          <w:rFonts w:hint="default"/>
          <w:color w:val="auto"/>
          <w:lang w:val="en-US" w:eastAsia="zh-CN"/>
        </w:rPr>
      </w:pPr>
      <w:r>
        <w:rPr>
          <w:rFonts w:hint="default"/>
          <w:color w:val="auto"/>
          <w:lang w:val="en-US" w:eastAsia="zh-CN"/>
        </w:rPr>
        <w:t>机械伤害是矿山生产过程中较为最常见的危险之一。机械性伤害主要指机械设备运动</w:t>
      </w:r>
      <w:r>
        <w:rPr>
          <w:rFonts w:hint="eastAsia"/>
          <w:color w:val="auto"/>
          <w:lang w:val="en-US" w:eastAsia="zh-CN"/>
        </w:rPr>
        <w:t>（</w:t>
      </w:r>
      <w:r>
        <w:rPr>
          <w:rFonts w:hint="default"/>
          <w:color w:val="auto"/>
          <w:lang w:val="en-US" w:eastAsia="zh-CN"/>
        </w:rPr>
        <w:t>静止</w:t>
      </w:r>
      <w:r>
        <w:rPr>
          <w:rFonts w:hint="eastAsia"/>
          <w:color w:val="auto"/>
          <w:lang w:val="en-US" w:eastAsia="zh-CN"/>
        </w:rPr>
        <w:t>）</w:t>
      </w:r>
      <w:r>
        <w:rPr>
          <w:rFonts w:hint="default"/>
          <w:color w:val="auto"/>
          <w:lang w:val="en-US" w:eastAsia="zh-CN"/>
        </w:rPr>
        <w:t>部件、工具、加工件直接与人体接触引起的夹击、碰撞、剪切、卷入、绞、碾、割、刺等形式的伤害。矿山在开采中将会使用各类机电设备，</w:t>
      </w:r>
      <w:r>
        <w:rPr>
          <w:rFonts w:hint="eastAsia"/>
          <w:color w:val="auto"/>
          <w:lang w:val="en-US" w:eastAsia="zh-CN"/>
        </w:rPr>
        <w:t>经</w:t>
      </w:r>
      <w:r>
        <w:rPr>
          <w:rFonts w:hint="default"/>
          <w:color w:val="auto"/>
          <w:lang w:val="en-US" w:eastAsia="zh-CN"/>
        </w:rPr>
        <w:t>常使用的有凿岩机、空压机、带式输送机等。这些机械的外露传动部分</w:t>
      </w:r>
      <w:r>
        <w:rPr>
          <w:rFonts w:hint="eastAsia"/>
          <w:color w:val="auto"/>
          <w:lang w:val="en-US" w:eastAsia="zh-CN"/>
        </w:rPr>
        <w:t>（</w:t>
      </w:r>
      <w:r>
        <w:rPr>
          <w:rFonts w:hint="default"/>
          <w:color w:val="auto"/>
          <w:lang w:val="en-US" w:eastAsia="zh-CN"/>
        </w:rPr>
        <w:t>如齿轮、轴、带等</w:t>
      </w:r>
      <w:r>
        <w:rPr>
          <w:rFonts w:hint="eastAsia"/>
          <w:color w:val="auto"/>
          <w:lang w:val="en-US" w:eastAsia="zh-CN"/>
        </w:rPr>
        <w:t>）</w:t>
      </w:r>
      <w:r>
        <w:rPr>
          <w:rFonts w:hint="default"/>
          <w:color w:val="auto"/>
          <w:lang w:val="en-US" w:eastAsia="zh-CN"/>
        </w:rPr>
        <w:t>和往复运动部分，如果缺少安全防护设施或安全防护存在缺陷，便有可能对人体造成机械伤害。机械伤害的原因</w:t>
      </w:r>
      <w:r>
        <w:rPr>
          <w:rFonts w:hint="eastAsia"/>
          <w:color w:val="auto"/>
          <w:lang w:val="en-US" w:eastAsia="zh-CN"/>
        </w:rPr>
        <w:t>：</w:t>
      </w:r>
      <w:r>
        <w:rPr>
          <w:rFonts w:hint="default"/>
          <w:color w:val="auto"/>
          <w:lang w:val="en-US" w:eastAsia="zh-CN"/>
        </w:rPr>
        <w:t>1</w:t>
      </w:r>
      <w:r>
        <w:rPr>
          <w:rFonts w:hint="eastAsia"/>
          <w:color w:val="auto"/>
          <w:lang w:val="en-US" w:eastAsia="zh-CN"/>
        </w:rPr>
        <w:t>）</w:t>
      </w:r>
      <w:r>
        <w:rPr>
          <w:rFonts w:hint="default"/>
          <w:color w:val="auto"/>
          <w:lang w:val="en-US" w:eastAsia="zh-CN"/>
        </w:rPr>
        <w:t>人的不安全行为</w:t>
      </w:r>
      <w:r>
        <w:rPr>
          <w:rFonts w:hint="eastAsia"/>
          <w:color w:val="auto"/>
          <w:lang w:val="en-US" w:eastAsia="zh-CN"/>
        </w:rPr>
        <w:t>；</w:t>
      </w:r>
      <w:r>
        <w:rPr>
          <w:rFonts w:hint="default"/>
          <w:color w:val="auto"/>
          <w:lang w:val="en-US" w:eastAsia="zh-CN"/>
        </w:rPr>
        <w:t>2</w:t>
      </w:r>
      <w:r>
        <w:rPr>
          <w:rFonts w:hint="eastAsia"/>
          <w:color w:val="auto"/>
          <w:lang w:val="en-US" w:eastAsia="zh-CN"/>
        </w:rPr>
        <w:t>）</w:t>
      </w:r>
      <w:r>
        <w:rPr>
          <w:rFonts w:hint="default"/>
          <w:color w:val="auto"/>
          <w:lang w:val="en-US" w:eastAsia="zh-CN"/>
        </w:rPr>
        <w:t>设备安全性能不好</w:t>
      </w:r>
      <w:r>
        <w:rPr>
          <w:rFonts w:hint="eastAsia"/>
          <w:color w:val="auto"/>
          <w:lang w:val="en-US" w:eastAsia="zh-CN"/>
        </w:rPr>
        <w:t>；</w:t>
      </w:r>
      <w:r>
        <w:rPr>
          <w:rFonts w:hint="default"/>
          <w:color w:val="auto"/>
          <w:lang w:val="en-US" w:eastAsia="zh-CN"/>
        </w:rPr>
        <w:t>3</w:t>
      </w:r>
      <w:r>
        <w:rPr>
          <w:rFonts w:hint="eastAsia"/>
          <w:color w:val="auto"/>
          <w:lang w:val="en-US" w:eastAsia="zh-CN"/>
        </w:rPr>
        <w:t>）</w:t>
      </w:r>
      <w:r>
        <w:rPr>
          <w:rFonts w:hint="default"/>
          <w:color w:val="auto"/>
          <w:lang w:val="en-US" w:eastAsia="zh-CN"/>
        </w:rPr>
        <w:t>工作场所环境不良。</w:t>
      </w:r>
    </w:p>
    <w:p w14:paraId="522E2249">
      <w:pPr>
        <w:rPr>
          <w:rFonts w:hint="default"/>
          <w:color w:val="auto"/>
          <w:lang w:val="en-US" w:eastAsia="zh-CN"/>
        </w:rPr>
      </w:pPr>
      <w:r>
        <w:rPr>
          <w:rFonts w:hint="default"/>
          <w:color w:val="auto"/>
          <w:lang w:val="en-US" w:eastAsia="zh-CN"/>
        </w:rPr>
        <w:t>产生机械伤害设备和设施主要有</w:t>
      </w:r>
      <w:r>
        <w:rPr>
          <w:rFonts w:hint="eastAsia"/>
          <w:color w:val="auto"/>
          <w:lang w:val="en-US" w:eastAsia="zh-CN"/>
        </w:rPr>
        <w:t>：</w:t>
      </w:r>
      <w:r>
        <w:rPr>
          <w:rFonts w:hint="default"/>
          <w:color w:val="auto"/>
          <w:lang w:val="en-US" w:eastAsia="zh-CN"/>
        </w:rPr>
        <w:t>1</w:t>
      </w:r>
      <w:r>
        <w:rPr>
          <w:rFonts w:hint="eastAsia"/>
          <w:color w:val="auto"/>
          <w:lang w:val="en-US" w:eastAsia="zh-CN"/>
        </w:rPr>
        <w:t>）</w:t>
      </w:r>
      <w:r>
        <w:rPr>
          <w:rFonts w:hint="default"/>
          <w:color w:val="auto"/>
          <w:lang w:val="en-US" w:eastAsia="zh-CN"/>
        </w:rPr>
        <w:t>凿岩设备</w:t>
      </w:r>
      <w:r>
        <w:rPr>
          <w:rFonts w:hint="eastAsia"/>
          <w:color w:val="auto"/>
          <w:lang w:val="en-US" w:eastAsia="zh-CN"/>
        </w:rPr>
        <w:t>；</w:t>
      </w:r>
      <w:r>
        <w:rPr>
          <w:rFonts w:hint="default"/>
          <w:color w:val="auto"/>
          <w:lang w:val="en-US" w:eastAsia="zh-CN"/>
        </w:rPr>
        <w:t>2</w:t>
      </w:r>
      <w:r>
        <w:rPr>
          <w:rFonts w:hint="eastAsia"/>
          <w:color w:val="auto"/>
          <w:lang w:val="en-US" w:eastAsia="zh-CN"/>
        </w:rPr>
        <w:t>）</w:t>
      </w:r>
      <w:r>
        <w:rPr>
          <w:rFonts w:hint="default"/>
          <w:color w:val="auto"/>
          <w:lang w:val="en-US" w:eastAsia="zh-CN"/>
        </w:rPr>
        <w:t>空压机</w:t>
      </w:r>
      <w:r>
        <w:rPr>
          <w:rFonts w:hint="eastAsia"/>
          <w:color w:val="auto"/>
          <w:lang w:val="en-US" w:eastAsia="zh-CN"/>
        </w:rPr>
        <w:t>；</w:t>
      </w:r>
      <w:r>
        <w:rPr>
          <w:rFonts w:hint="default"/>
          <w:color w:val="auto"/>
          <w:lang w:val="en-US" w:eastAsia="zh-CN"/>
        </w:rPr>
        <w:t>3</w:t>
      </w:r>
      <w:r>
        <w:rPr>
          <w:rFonts w:hint="eastAsia"/>
          <w:color w:val="auto"/>
          <w:lang w:val="en-US" w:eastAsia="zh-CN"/>
        </w:rPr>
        <w:t>）</w:t>
      </w:r>
      <w:r>
        <w:rPr>
          <w:rFonts w:hint="default"/>
          <w:color w:val="auto"/>
          <w:lang w:val="en-US" w:eastAsia="zh-CN"/>
        </w:rPr>
        <w:t>其它机械设备和设施。</w:t>
      </w:r>
    </w:p>
    <w:p w14:paraId="1EB3FD82">
      <w:pPr>
        <w:pStyle w:val="4"/>
        <w:bidi w:val="0"/>
        <w:rPr>
          <w:rFonts w:hint="default"/>
          <w:color w:val="auto"/>
          <w:lang w:val="en-US" w:eastAsia="zh-CN"/>
        </w:rPr>
      </w:pPr>
      <w:bookmarkStart w:id="214" w:name="_Toc22298"/>
      <w:bookmarkStart w:id="215" w:name="_Toc31403"/>
      <w:bookmarkStart w:id="216" w:name="_Toc32199"/>
      <w:r>
        <w:rPr>
          <w:rFonts w:hint="default"/>
          <w:color w:val="auto"/>
          <w:lang w:val="en-US" w:eastAsia="zh-CN"/>
        </w:rPr>
        <w:t>3.1.7 火灾</w:t>
      </w:r>
      <w:bookmarkEnd w:id="214"/>
      <w:bookmarkEnd w:id="215"/>
      <w:bookmarkEnd w:id="216"/>
    </w:p>
    <w:p w14:paraId="08E04518">
      <w:pPr>
        <w:rPr>
          <w:rFonts w:hint="default"/>
          <w:color w:val="auto"/>
          <w:lang w:val="en-US" w:eastAsia="zh-CN"/>
        </w:rPr>
      </w:pPr>
      <w:r>
        <w:rPr>
          <w:rFonts w:hint="default"/>
          <w:color w:val="auto"/>
          <w:lang w:val="en-US" w:eastAsia="zh-CN"/>
        </w:rPr>
        <w:t>露天矿山火灾</w:t>
      </w:r>
      <w:r>
        <w:rPr>
          <w:rFonts w:hint="eastAsia"/>
          <w:color w:val="auto"/>
          <w:lang w:val="en-US" w:eastAsia="zh-CN"/>
        </w:rPr>
        <w:t>主要</w:t>
      </w:r>
      <w:r>
        <w:rPr>
          <w:rFonts w:hint="default"/>
          <w:color w:val="auto"/>
          <w:lang w:val="en-US" w:eastAsia="zh-CN"/>
        </w:rPr>
        <w:t>为地面火灾，如矿山工业场地的厂房、仓库、贮矿场等处的火灾。</w:t>
      </w:r>
    </w:p>
    <w:p w14:paraId="26484FFA">
      <w:pPr>
        <w:rPr>
          <w:rFonts w:hint="default"/>
          <w:color w:val="auto"/>
          <w:lang w:val="en-US" w:eastAsia="zh-CN"/>
        </w:rPr>
      </w:pPr>
      <w:r>
        <w:rPr>
          <w:rFonts w:hint="default"/>
          <w:color w:val="auto"/>
          <w:lang w:val="en-US" w:eastAsia="zh-CN"/>
        </w:rPr>
        <w:t>根据矿山火灾发生的原因，可分为内因火灾和外因火灾。内因火灾也称自燃火灾，是由于矿岩本身的物理和化学反应发热所引起的，外因火灾又称外源火灾，是由于外部各种原因引起的火灾。该矿山不存在内因火灾，但矿区的地处林区，存在外因火灾。</w:t>
      </w:r>
    </w:p>
    <w:p w14:paraId="05AB7699">
      <w:pPr>
        <w:rPr>
          <w:rFonts w:hint="default"/>
          <w:color w:val="auto"/>
          <w:lang w:val="en-US" w:eastAsia="zh-CN"/>
        </w:rPr>
      </w:pPr>
      <w:r>
        <w:rPr>
          <w:rFonts w:hint="default"/>
          <w:color w:val="auto"/>
          <w:lang w:val="en-US" w:eastAsia="zh-CN"/>
        </w:rPr>
        <w:t>外因火灾发生的主要原因</w:t>
      </w:r>
    </w:p>
    <w:p w14:paraId="4D4D2451">
      <w:pPr>
        <w:rPr>
          <w:rFonts w:hint="default"/>
          <w:color w:val="auto"/>
          <w:lang w:val="en-US" w:eastAsia="zh-CN"/>
        </w:rPr>
      </w:pPr>
      <w:r>
        <w:rPr>
          <w:rFonts w:hint="default"/>
          <w:color w:val="auto"/>
          <w:lang w:val="en-US" w:eastAsia="zh-CN"/>
        </w:rPr>
        <w:t>1</w:t>
      </w:r>
      <w:r>
        <w:rPr>
          <w:rFonts w:hint="eastAsia"/>
          <w:color w:val="auto"/>
          <w:lang w:val="en-US" w:eastAsia="zh-CN"/>
        </w:rPr>
        <w:t xml:space="preserve">. </w:t>
      </w:r>
      <w:r>
        <w:rPr>
          <w:rFonts w:hint="default"/>
          <w:color w:val="auto"/>
          <w:lang w:val="en-US" w:eastAsia="zh-CN"/>
        </w:rPr>
        <w:t>明火所引燃的火灾</w:t>
      </w:r>
      <w:r>
        <w:rPr>
          <w:rFonts w:hint="eastAsia"/>
          <w:color w:val="auto"/>
          <w:lang w:val="en-US" w:eastAsia="zh-CN"/>
        </w:rPr>
        <w:t>；</w:t>
      </w:r>
    </w:p>
    <w:p w14:paraId="301522AF">
      <w:pPr>
        <w:rPr>
          <w:rFonts w:hint="default"/>
          <w:color w:val="auto"/>
          <w:lang w:val="en-US" w:eastAsia="zh-CN"/>
        </w:rPr>
      </w:pPr>
      <w:r>
        <w:rPr>
          <w:rFonts w:hint="default"/>
          <w:color w:val="auto"/>
          <w:lang w:val="en-US" w:eastAsia="zh-CN"/>
        </w:rPr>
        <w:t>2</w:t>
      </w:r>
      <w:r>
        <w:rPr>
          <w:rFonts w:hint="eastAsia"/>
          <w:color w:val="auto"/>
          <w:lang w:val="en-US" w:eastAsia="zh-CN"/>
        </w:rPr>
        <w:t xml:space="preserve">. </w:t>
      </w:r>
      <w:r>
        <w:rPr>
          <w:rFonts w:hint="default"/>
          <w:color w:val="auto"/>
          <w:lang w:val="en-US" w:eastAsia="zh-CN"/>
        </w:rPr>
        <w:t>油料在运输、保管和使用时所引起的火灾</w:t>
      </w:r>
      <w:r>
        <w:rPr>
          <w:rFonts w:hint="eastAsia"/>
          <w:color w:val="auto"/>
          <w:lang w:val="en-US" w:eastAsia="zh-CN"/>
        </w:rPr>
        <w:t>；</w:t>
      </w:r>
    </w:p>
    <w:p w14:paraId="7522AF08">
      <w:pPr>
        <w:rPr>
          <w:rFonts w:hint="default"/>
          <w:color w:val="auto"/>
          <w:lang w:val="en-US" w:eastAsia="zh-CN"/>
        </w:rPr>
      </w:pPr>
      <w:r>
        <w:rPr>
          <w:rFonts w:hint="default"/>
          <w:color w:val="auto"/>
          <w:lang w:val="en-US" w:eastAsia="zh-CN"/>
        </w:rPr>
        <w:t>3</w:t>
      </w:r>
      <w:r>
        <w:rPr>
          <w:rFonts w:hint="eastAsia"/>
          <w:color w:val="auto"/>
          <w:lang w:val="en-US" w:eastAsia="zh-CN"/>
        </w:rPr>
        <w:t xml:space="preserve">. </w:t>
      </w:r>
      <w:r>
        <w:rPr>
          <w:rFonts w:hint="default"/>
          <w:color w:val="auto"/>
          <w:lang w:val="en-US" w:eastAsia="zh-CN"/>
        </w:rPr>
        <w:t>炸药在运输、加工和使用过程中所引起的火灾</w:t>
      </w:r>
      <w:r>
        <w:rPr>
          <w:rFonts w:hint="eastAsia"/>
          <w:color w:val="auto"/>
          <w:lang w:val="en-US" w:eastAsia="zh-CN"/>
        </w:rPr>
        <w:t>；</w:t>
      </w:r>
    </w:p>
    <w:p w14:paraId="4BAEE875">
      <w:pPr>
        <w:rPr>
          <w:rFonts w:hint="default"/>
          <w:color w:val="auto"/>
          <w:lang w:val="en-US" w:eastAsia="zh-CN"/>
        </w:rPr>
      </w:pPr>
      <w:r>
        <w:rPr>
          <w:rFonts w:hint="default"/>
          <w:color w:val="auto"/>
          <w:lang w:val="en-US" w:eastAsia="zh-CN"/>
        </w:rPr>
        <w:t>4</w:t>
      </w:r>
      <w:r>
        <w:rPr>
          <w:rFonts w:hint="eastAsia"/>
          <w:color w:val="auto"/>
          <w:lang w:val="en-US" w:eastAsia="zh-CN"/>
        </w:rPr>
        <w:t xml:space="preserve">. </w:t>
      </w:r>
      <w:r>
        <w:rPr>
          <w:rFonts w:hint="default"/>
          <w:color w:val="auto"/>
          <w:lang w:val="en-US" w:eastAsia="zh-CN"/>
        </w:rPr>
        <w:t>机械作用</w:t>
      </w:r>
      <w:r>
        <w:rPr>
          <w:rFonts w:hint="eastAsia"/>
          <w:color w:val="auto"/>
          <w:lang w:val="en-US" w:eastAsia="zh-CN"/>
        </w:rPr>
        <w:t>（</w:t>
      </w:r>
      <w:r>
        <w:rPr>
          <w:rFonts w:hint="default"/>
          <w:color w:val="auto"/>
          <w:lang w:val="en-US" w:eastAsia="zh-CN"/>
        </w:rPr>
        <w:t>包括磨擦、震动冲击等</w:t>
      </w:r>
      <w:r>
        <w:rPr>
          <w:rFonts w:hint="eastAsia"/>
          <w:color w:val="auto"/>
          <w:lang w:val="en-US" w:eastAsia="zh-CN"/>
        </w:rPr>
        <w:t>）</w:t>
      </w:r>
      <w:r>
        <w:rPr>
          <w:rFonts w:hint="default"/>
          <w:color w:val="auto"/>
          <w:lang w:val="en-US" w:eastAsia="zh-CN"/>
        </w:rPr>
        <w:t>所引起的火灾</w:t>
      </w:r>
      <w:r>
        <w:rPr>
          <w:rFonts w:hint="eastAsia"/>
          <w:color w:val="auto"/>
          <w:lang w:val="en-US" w:eastAsia="zh-CN"/>
        </w:rPr>
        <w:t>；</w:t>
      </w:r>
    </w:p>
    <w:p w14:paraId="3CCD521F">
      <w:pPr>
        <w:rPr>
          <w:rFonts w:hint="default"/>
          <w:color w:val="auto"/>
          <w:lang w:val="en-US" w:eastAsia="zh-CN"/>
        </w:rPr>
      </w:pPr>
      <w:r>
        <w:rPr>
          <w:rFonts w:hint="default"/>
          <w:color w:val="auto"/>
          <w:lang w:val="en-US" w:eastAsia="zh-CN"/>
        </w:rPr>
        <w:t>5</w:t>
      </w:r>
      <w:r>
        <w:rPr>
          <w:rFonts w:hint="eastAsia"/>
          <w:color w:val="auto"/>
          <w:lang w:val="en-US" w:eastAsia="zh-CN"/>
        </w:rPr>
        <w:t xml:space="preserve">. </w:t>
      </w:r>
      <w:r>
        <w:rPr>
          <w:rFonts w:hint="default"/>
          <w:color w:val="auto"/>
          <w:lang w:val="en-US" w:eastAsia="zh-CN"/>
        </w:rPr>
        <w:t>电气设备的绝缘损坏和性能不良引起的火灾。</w:t>
      </w:r>
    </w:p>
    <w:p w14:paraId="36FF85AA">
      <w:pPr>
        <w:rPr>
          <w:rFonts w:hint="default"/>
          <w:color w:val="auto"/>
          <w:lang w:val="en-US" w:eastAsia="zh-CN"/>
        </w:rPr>
      </w:pPr>
      <w:r>
        <w:rPr>
          <w:rFonts w:hint="default"/>
          <w:color w:val="auto"/>
          <w:lang w:val="en-US" w:eastAsia="zh-CN"/>
        </w:rPr>
        <w:t>外因火灾存在的场所有</w:t>
      </w:r>
      <w:r>
        <w:rPr>
          <w:rFonts w:hint="eastAsia"/>
          <w:color w:val="auto"/>
          <w:lang w:val="en-US" w:eastAsia="zh-CN"/>
        </w:rPr>
        <w:t>：</w:t>
      </w:r>
      <w:r>
        <w:rPr>
          <w:rFonts w:hint="default"/>
          <w:color w:val="auto"/>
          <w:lang w:val="en-US" w:eastAsia="zh-CN"/>
        </w:rPr>
        <w:t>1</w:t>
      </w:r>
      <w:r>
        <w:rPr>
          <w:rFonts w:hint="eastAsia"/>
          <w:color w:val="auto"/>
          <w:lang w:val="en-US" w:eastAsia="zh-CN"/>
        </w:rPr>
        <w:t>）</w:t>
      </w:r>
      <w:r>
        <w:rPr>
          <w:rFonts w:hint="default"/>
          <w:color w:val="auto"/>
          <w:lang w:val="en-US" w:eastAsia="zh-CN"/>
        </w:rPr>
        <w:t>炸药运输</w:t>
      </w:r>
      <w:r>
        <w:rPr>
          <w:rFonts w:hint="eastAsia"/>
          <w:color w:val="auto"/>
          <w:lang w:val="en-US" w:eastAsia="zh-CN"/>
        </w:rPr>
        <w:t>；</w:t>
      </w:r>
      <w:r>
        <w:rPr>
          <w:rFonts w:hint="default"/>
          <w:color w:val="auto"/>
          <w:lang w:val="en-US" w:eastAsia="zh-CN"/>
        </w:rPr>
        <w:t>2</w:t>
      </w:r>
      <w:r>
        <w:rPr>
          <w:rFonts w:hint="eastAsia"/>
          <w:color w:val="auto"/>
          <w:lang w:val="en-US" w:eastAsia="zh-CN"/>
        </w:rPr>
        <w:t>）</w:t>
      </w:r>
      <w:r>
        <w:rPr>
          <w:rFonts w:hint="default"/>
          <w:color w:val="auto"/>
          <w:lang w:val="en-US" w:eastAsia="zh-CN"/>
        </w:rPr>
        <w:t>工业场所外围山林</w:t>
      </w:r>
      <w:r>
        <w:rPr>
          <w:rFonts w:hint="eastAsia"/>
          <w:color w:val="auto"/>
          <w:lang w:val="en-US" w:eastAsia="zh-CN"/>
        </w:rPr>
        <w:t>；</w:t>
      </w:r>
      <w:r>
        <w:rPr>
          <w:rFonts w:hint="default"/>
          <w:color w:val="auto"/>
          <w:lang w:val="en-US" w:eastAsia="zh-CN"/>
        </w:rPr>
        <w:t>3</w:t>
      </w:r>
      <w:r>
        <w:rPr>
          <w:rFonts w:hint="eastAsia"/>
          <w:color w:val="auto"/>
          <w:lang w:val="en-US" w:eastAsia="zh-CN"/>
        </w:rPr>
        <w:t>）</w:t>
      </w:r>
      <w:r>
        <w:rPr>
          <w:rFonts w:hint="default"/>
          <w:color w:val="auto"/>
          <w:lang w:val="en-US" w:eastAsia="zh-CN"/>
        </w:rPr>
        <w:t>其它可燃材料储存、使用和运输地点。</w:t>
      </w:r>
    </w:p>
    <w:p w14:paraId="23D23F2B">
      <w:pPr>
        <w:pStyle w:val="4"/>
        <w:bidi w:val="0"/>
        <w:rPr>
          <w:rFonts w:hint="default"/>
          <w:color w:val="auto"/>
          <w:lang w:val="en-US" w:eastAsia="zh-CN"/>
        </w:rPr>
      </w:pPr>
      <w:bookmarkStart w:id="217" w:name="_Toc19529"/>
      <w:bookmarkStart w:id="218" w:name="_Toc14730"/>
      <w:bookmarkStart w:id="219" w:name="_Toc21303"/>
      <w:r>
        <w:rPr>
          <w:rFonts w:hint="default"/>
          <w:color w:val="auto"/>
          <w:lang w:val="en-US" w:eastAsia="zh-CN"/>
        </w:rPr>
        <w:t>3.1.8 高处坠落</w:t>
      </w:r>
      <w:bookmarkEnd w:id="217"/>
      <w:bookmarkEnd w:id="218"/>
      <w:bookmarkEnd w:id="219"/>
    </w:p>
    <w:p w14:paraId="7CD56D22">
      <w:pPr>
        <w:rPr>
          <w:rFonts w:hint="default"/>
          <w:color w:val="auto"/>
          <w:lang w:val="en-US" w:eastAsia="zh-CN"/>
        </w:rPr>
      </w:pPr>
      <w:r>
        <w:rPr>
          <w:rFonts w:hint="default"/>
          <w:color w:val="auto"/>
          <w:lang w:val="en-US" w:eastAsia="zh-CN"/>
        </w:rPr>
        <w:t>高处坠落伤害是指人员在高处作业中由于种种原因发生坠落造成人身伤害的危险。当采矿作业人员在高于地面2m或相对高度超过2m场所正常工作、作业、检查和设备维修时，如防护不当、违章操作、麻痹大意、或在强自然风力的作用下有可能发生人员坠落危险。同时因采剥或其他需攀爬直梯、斜梯、绳梯和山坡等。可能因防护不良、监护失职、违章作业等出现高处坠落。事故后果因高度不同，着地部位和落地点的地面状况不同，可呈现不同的伤害结果，轻则致伤、致残，重则会丧失生命。</w:t>
      </w:r>
    </w:p>
    <w:p w14:paraId="5040F4DE">
      <w:pPr>
        <w:rPr>
          <w:rFonts w:hint="default"/>
          <w:color w:val="auto"/>
          <w:lang w:val="en-US" w:eastAsia="zh-CN"/>
        </w:rPr>
      </w:pPr>
      <w:r>
        <w:rPr>
          <w:rFonts w:hint="default"/>
          <w:color w:val="auto"/>
          <w:lang w:val="en-US" w:eastAsia="zh-CN"/>
        </w:rPr>
        <w:t>造成高处坠落的主要原因有</w:t>
      </w:r>
      <w:r>
        <w:rPr>
          <w:rFonts w:hint="eastAsia"/>
          <w:color w:val="auto"/>
          <w:lang w:val="en-US" w:eastAsia="zh-CN"/>
        </w:rPr>
        <w:t>：</w:t>
      </w:r>
      <w:r>
        <w:rPr>
          <w:rFonts w:hint="default"/>
          <w:color w:val="auto"/>
          <w:lang w:val="en-US" w:eastAsia="zh-CN"/>
        </w:rPr>
        <w:t>1</w:t>
      </w:r>
      <w:r>
        <w:rPr>
          <w:rFonts w:hint="eastAsia"/>
          <w:color w:val="auto"/>
          <w:lang w:val="en-US" w:eastAsia="zh-CN"/>
        </w:rPr>
        <w:t>）</w:t>
      </w:r>
      <w:r>
        <w:rPr>
          <w:rFonts w:hint="default"/>
          <w:color w:val="auto"/>
          <w:lang w:val="en-US" w:eastAsia="zh-CN"/>
        </w:rPr>
        <w:t>没有按要求使用安全带、安全绳</w:t>
      </w:r>
      <w:r>
        <w:rPr>
          <w:rFonts w:hint="eastAsia"/>
          <w:color w:val="auto"/>
          <w:lang w:val="en-US" w:eastAsia="zh-CN"/>
        </w:rPr>
        <w:t>；</w:t>
      </w:r>
      <w:r>
        <w:rPr>
          <w:rFonts w:hint="default"/>
          <w:color w:val="auto"/>
          <w:lang w:val="en-US" w:eastAsia="zh-CN"/>
        </w:rPr>
        <w:t>2</w:t>
      </w:r>
      <w:r>
        <w:rPr>
          <w:rFonts w:hint="eastAsia"/>
          <w:color w:val="auto"/>
          <w:lang w:val="en-US" w:eastAsia="zh-CN"/>
        </w:rPr>
        <w:t>）</w:t>
      </w:r>
      <w:r>
        <w:rPr>
          <w:rFonts w:hint="default"/>
          <w:color w:val="auto"/>
          <w:lang w:val="en-US" w:eastAsia="zh-CN"/>
        </w:rPr>
        <w:t>没有按要求穿防滑性能良好的软底鞋</w:t>
      </w:r>
      <w:r>
        <w:rPr>
          <w:rFonts w:hint="eastAsia"/>
          <w:color w:val="auto"/>
          <w:lang w:val="en-US" w:eastAsia="zh-CN"/>
        </w:rPr>
        <w:t>；</w:t>
      </w:r>
      <w:r>
        <w:rPr>
          <w:rFonts w:hint="default"/>
          <w:color w:val="auto"/>
          <w:lang w:val="en-US" w:eastAsia="zh-CN"/>
        </w:rPr>
        <w:t>3</w:t>
      </w:r>
      <w:r>
        <w:rPr>
          <w:rFonts w:hint="eastAsia"/>
          <w:color w:val="auto"/>
          <w:lang w:val="en-US" w:eastAsia="zh-CN"/>
        </w:rPr>
        <w:t>）</w:t>
      </w:r>
      <w:r>
        <w:rPr>
          <w:rFonts w:hint="default"/>
          <w:color w:val="auto"/>
          <w:lang w:val="en-US" w:eastAsia="zh-CN"/>
        </w:rPr>
        <w:t>高处作业时安全防护设施损坏</w:t>
      </w:r>
      <w:r>
        <w:rPr>
          <w:rFonts w:hint="eastAsia"/>
          <w:color w:val="auto"/>
          <w:lang w:val="en-US" w:eastAsia="zh-CN"/>
        </w:rPr>
        <w:t>；</w:t>
      </w:r>
      <w:r>
        <w:rPr>
          <w:rFonts w:hint="default"/>
          <w:color w:val="auto"/>
          <w:lang w:val="en-US" w:eastAsia="zh-CN"/>
        </w:rPr>
        <w:t>4</w:t>
      </w:r>
      <w:r>
        <w:rPr>
          <w:rFonts w:hint="eastAsia"/>
          <w:color w:val="auto"/>
          <w:lang w:val="en-US" w:eastAsia="zh-CN"/>
        </w:rPr>
        <w:t>）</w:t>
      </w:r>
      <w:r>
        <w:rPr>
          <w:rFonts w:hint="default"/>
          <w:color w:val="auto"/>
          <w:lang w:val="en-US" w:eastAsia="zh-CN"/>
        </w:rPr>
        <w:t>使用安全保护装置不完善的设备、设施进行作业</w:t>
      </w:r>
      <w:r>
        <w:rPr>
          <w:rFonts w:hint="eastAsia"/>
          <w:color w:val="auto"/>
          <w:lang w:val="en-US" w:eastAsia="zh-CN"/>
        </w:rPr>
        <w:t>；</w:t>
      </w:r>
      <w:r>
        <w:rPr>
          <w:rFonts w:hint="default"/>
          <w:color w:val="auto"/>
          <w:lang w:val="en-US" w:eastAsia="zh-CN"/>
        </w:rPr>
        <w:t>5</w:t>
      </w:r>
      <w:r>
        <w:rPr>
          <w:rFonts w:hint="eastAsia"/>
          <w:color w:val="auto"/>
          <w:lang w:val="en-US" w:eastAsia="zh-CN"/>
        </w:rPr>
        <w:t>）</w:t>
      </w:r>
      <w:r>
        <w:rPr>
          <w:rFonts w:hint="default"/>
          <w:color w:val="auto"/>
          <w:lang w:val="en-US" w:eastAsia="zh-CN"/>
        </w:rPr>
        <w:t>工作责任心不强，主观判断失误</w:t>
      </w:r>
      <w:r>
        <w:rPr>
          <w:rFonts w:hint="eastAsia"/>
          <w:color w:val="auto"/>
          <w:lang w:val="en-US" w:eastAsia="zh-CN"/>
        </w:rPr>
        <w:t>；</w:t>
      </w:r>
      <w:r>
        <w:rPr>
          <w:rFonts w:hint="default"/>
          <w:color w:val="auto"/>
          <w:lang w:val="en-US" w:eastAsia="zh-CN"/>
        </w:rPr>
        <w:t>6</w:t>
      </w:r>
      <w:r>
        <w:rPr>
          <w:rFonts w:hint="eastAsia"/>
          <w:color w:val="auto"/>
          <w:lang w:val="en-US" w:eastAsia="zh-CN"/>
        </w:rPr>
        <w:t>）</w:t>
      </w:r>
      <w:r>
        <w:rPr>
          <w:rFonts w:hint="default"/>
          <w:color w:val="auto"/>
          <w:lang w:val="en-US" w:eastAsia="zh-CN"/>
        </w:rPr>
        <w:t>作业人员疏忽大意，疲劳过度</w:t>
      </w:r>
      <w:r>
        <w:rPr>
          <w:rFonts w:hint="eastAsia"/>
          <w:color w:val="auto"/>
          <w:lang w:val="en-US" w:eastAsia="zh-CN"/>
        </w:rPr>
        <w:t>；</w:t>
      </w:r>
      <w:r>
        <w:rPr>
          <w:rFonts w:hint="default"/>
          <w:color w:val="auto"/>
          <w:lang w:val="en-US" w:eastAsia="zh-CN"/>
        </w:rPr>
        <w:t>7</w:t>
      </w:r>
      <w:r>
        <w:rPr>
          <w:rFonts w:hint="eastAsia"/>
          <w:color w:val="auto"/>
          <w:lang w:val="en-US" w:eastAsia="zh-CN"/>
        </w:rPr>
        <w:t>）</w:t>
      </w:r>
      <w:r>
        <w:rPr>
          <w:rFonts w:hint="default"/>
          <w:color w:val="auto"/>
          <w:lang w:val="en-US" w:eastAsia="zh-CN"/>
        </w:rPr>
        <w:t>照明条件不足。</w:t>
      </w:r>
    </w:p>
    <w:p w14:paraId="5D016CE3">
      <w:pPr>
        <w:rPr>
          <w:rFonts w:hint="default"/>
          <w:color w:val="auto"/>
          <w:lang w:val="en-US" w:eastAsia="zh-CN"/>
        </w:rPr>
      </w:pPr>
      <w:r>
        <w:rPr>
          <w:rFonts w:hint="default"/>
          <w:color w:val="auto"/>
          <w:lang w:val="en-US" w:eastAsia="zh-CN"/>
        </w:rPr>
        <w:t>产生高处坠落的场所</w:t>
      </w:r>
      <w:r>
        <w:rPr>
          <w:rFonts w:hint="eastAsia"/>
          <w:color w:val="auto"/>
          <w:lang w:val="en-US" w:eastAsia="zh-CN"/>
        </w:rPr>
        <w:t>：</w:t>
      </w:r>
      <w:r>
        <w:rPr>
          <w:rFonts w:hint="default"/>
          <w:color w:val="auto"/>
          <w:lang w:val="en-US" w:eastAsia="zh-CN"/>
        </w:rPr>
        <w:t>1</w:t>
      </w:r>
      <w:r>
        <w:rPr>
          <w:rFonts w:hint="eastAsia"/>
          <w:color w:val="auto"/>
          <w:lang w:val="en-US" w:eastAsia="zh-CN"/>
        </w:rPr>
        <w:t>）</w:t>
      </w:r>
      <w:r>
        <w:rPr>
          <w:rFonts w:hint="default"/>
          <w:color w:val="auto"/>
          <w:lang w:val="en-US" w:eastAsia="zh-CN"/>
        </w:rPr>
        <w:t>采场的高处坠落</w:t>
      </w:r>
      <w:r>
        <w:rPr>
          <w:rFonts w:hint="eastAsia"/>
          <w:color w:val="auto"/>
          <w:lang w:val="en-US" w:eastAsia="zh-CN"/>
        </w:rPr>
        <w:t>；</w:t>
      </w:r>
      <w:r>
        <w:rPr>
          <w:rFonts w:hint="default"/>
          <w:color w:val="auto"/>
          <w:lang w:val="en-US" w:eastAsia="zh-CN"/>
        </w:rPr>
        <w:t>2</w:t>
      </w:r>
      <w:r>
        <w:rPr>
          <w:rFonts w:hint="eastAsia"/>
          <w:color w:val="auto"/>
          <w:lang w:val="en-US" w:eastAsia="zh-CN"/>
        </w:rPr>
        <w:t>）</w:t>
      </w:r>
      <w:r>
        <w:rPr>
          <w:rFonts w:hint="default"/>
          <w:color w:val="auto"/>
          <w:lang w:val="en-US" w:eastAsia="zh-CN"/>
        </w:rPr>
        <w:t>高处进行设备检修、安装</w:t>
      </w:r>
      <w:r>
        <w:rPr>
          <w:rFonts w:hint="eastAsia"/>
          <w:color w:val="auto"/>
          <w:lang w:val="en-US" w:eastAsia="zh-CN"/>
        </w:rPr>
        <w:t>；</w:t>
      </w:r>
      <w:r>
        <w:rPr>
          <w:rFonts w:hint="default"/>
          <w:color w:val="auto"/>
          <w:lang w:val="en-US" w:eastAsia="zh-CN"/>
        </w:rPr>
        <w:t>3</w:t>
      </w:r>
      <w:r>
        <w:rPr>
          <w:rFonts w:hint="eastAsia"/>
          <w:color w:val="auto"/>
          <w:lang w:val="en-US" w:eastAsia="zh-CN"/>
        </w:rPr>
        <w:t>）</w:t>
      </w:r>
      <w:r>
        <w:rPr>
          <w:rFonts w:hint="default"/>
          <w:color w:val="auto"/>
          <w:lang w:val="en-US" w:eastAsia="zh-CN"/>
        </w:rPr>
        <w:t>卸矿口</w:t>
      </w:r>
      <w:r>
        <w:rPr>
          <w:rFonts w:hint="eastAsia"/>
          <w:color w:val="auto"/>
          <w:lang w:val="en-US" w:eastAsia="zh-CN"/>
        </w:rPr>
        <w:t>等。</w:t>
      </w:r>
    </w:p>
    <w:p w14:paraId="1820AC57">
      <w:pPr>
        <w:pStyle w:val="4"/>
        <w:bidi w:val="0"/>
        <w:rPr>
          <w:rFonts w:hint="default"/>
          <w:color w:val="auto"/>
          <w:lang w:val="en-US" w:eastAsia="zh-CN"/>
        </w:rPr>
      </w:pPr>
      <w:bookmarkStart w:id="220" w:name="_Toc28168"/>
      <w:bookmarkStart w:id="221" w:name="_Toc12523"/>
      <w:bookmarkStart w:id="222" w:name="_Toc16200"/>
      <w:r>
        <w:rPr>
          <w:rFonts w:hint="default"/>
          <w:color w:val="auto"/>
          <w:lang w:val="en-US" w:eastAsia="zh-CN"/>
        </w:rPr>
        <w:t>3.1.9 物体打击</w:t>
      </w:r>
      <w:bookmarkEnd w:id="220"/>
      <w:bookmarkEnd w:id="221"/>
      <w:bookmarkEnd w:id="222"/>
    </w:p>
    <w:p w14:paraId="750AE716">
      <w:pPr>
        <w:rPr>
          <w:rFonts w:hint="default"/>
          <w:color w:val="auto"/>
          <w:lang w:val="en-US" w:eastAsia="zh-CN"/>
        </w:rPr>
      </w:pPr>
      <w:r>
        <w:rPr>
          <w:rFonts w:hint="default"/>
          <w:color w:val="auto"/>
          <w:lang w:val="en-US" w:eastAsia="zh-CN"/>
        </w:rPr>
        <w:t>物体打击危险是指物体在重力或其他外力的作用下产生运动，打击人体造成人身伤亡事故，不包括机械设备、车辆、起重机械、坍塌等引起的物体打击。</w:t>
      </w:r>
    </w:p>
    <w:p w14:paraId="577CE80A">
      <w:pPr>
        <w:rPr>
          <w:rFonts w:hint="default"/>
          <w:color w:val="auto"/>
          <w:lang w:val="en-US" w:eastAsia="zh-CN"/>
        </w:rPr>
      </w:pPr>
      <w:r>
        <w:rPr>
          <w:rFonts w:hint="default"/>
          <w:color w:val="auto"/>
          <w:lang w:val="en-US" w:eastAsia="zh-CN"/>
        </w:rPr>
        <w:t>人体在遭到外来物体的打击之后，可能出现不同程度的后果，轻则可致轻伤，重则出现重伤，造成肌体不可逆转的伤害后果，更为严重的是有可能致人死亡。物体打击是矿山企业事故发生概率较高的危险因素之一，对于本矿采矿施工而言，可能发生物体打击的危险主要包括边坡上不稳定石块脱落、装卸中矿石坠落、搬运材料、物体跌落、物体抛掷等。</w:t>
      </w:r>
    </w:p>
    <w:p w14:paraId="130E5B89">
      <w:pPr>
        <w:pStyle w:val="4"/>
        <w:bidi w:val="0"/>
        <w:rPr>
          <w:rFonts w:hint="default"/>
          <w:color w:val="auto"/>
          <w:lang w:val="en-US" w:eastAsia="zh-CN"/>
        </w:rPr>
      </w:pPr>
      <w:bookmarkStart w:id="223" w:name="_Toc19601"/>
      <w:bookmarkStart w:id="224" w:name="_Toc14137"/>
      <w:bookmarkStart w:id="225" w:name="_Toc22313"/>
      <w:r>
        <w:rPr>
          <w:rFonts w:hint="default"/>
          <w:color w:val="auto"/>
          <w:lang w:val="en-US" w:eastAsia="zh-CN"/>
        </w:rPr>
        <w:t>3.1.10 车辆伤害</w:t>
      </w:r>
      <w:bookmarkEnd w:id="223"/>
      <w:bookmarkEnd w:id="224"/>
      <w:bookmarkEnd w:id="225"/>
    </w:p>
    <w:p w14:paraId="32B93B65">
      <w:pPr>
        <w:rPr>
          <w:rFonts w:hint="default"/>
          <w:color w:val="auto"/>
          <w:lang w:val="en-US" w:eastAsia="zh-CN"/>
        </w:rPr>
      </w:pPr>
      <w:r>
        <w:rPr>
          <w:rFonts w:hint="default"/>
          <w:color w:val="auto"/>
          <w:lang w:val="en-US" w:eastAsia="zh-CN"/>
        </w:rPr>
        <w:t>车辆伤害是指地面运矿车辆和工程车辆，在行驶过程中由于矿区公路的路窄，坡陡，路基不牢，车况不好，驾驶员违章操作等原因，可能引起的人体坠落和物体倒塌、下落、挤压伤亡事故和设施的破坏，不包括起重设备提升、牵引车辆和车辆停驶时引起的车辆伤害。主要存在场所有</w:t>
      </w:r>
      <w:r>
        <w:rPr>
          <w:rFonts w:hint="eastAsia"/>
          <w:color w:val="auto"/>
          <w:lang w:val="en-US" w:eastAsia="zh-CN"/>
        </w:rPr>
        <w:t>：1）</w:t>
      </w:r>
      <w:r>
        <w:rPr>
          <w:rFonts w:hint="default"/>
          <w:color w:val="auto"/>
          <w:lang w:val="en-US" w:eastAsia="zh-CN"/>
        </w:rPr>
        <w:t>露天采场铲装工作面</w:t>
      </w:r>
      <w:r>
        <w:rPr>
          <w:rFonts w:hint="eastAsia"/>
          <w:color w:val="auto"/>
          <w:lang w:val="en-US" w:eastAsia="zh-CN"/>
        </w:rPr>
        <w:t>；2）</w:t>
      </w:r>
      <w:r>
        <w:rPr>
          <w:rFonts w:hint="default"/>
          <w:color w:val="auto"/>
          <w:lang w:val="en-US" w:eastAsia="zh-CN"/>
        </w:rPr>
        <w:t>矿区内外运矿道路</w:t>
      </w:r>
      <w:r>
        <w:rPr>
          <w:rFonts w:hint="eastAsia"/>
          <w:color w:val="auto"/>
          <w:lang w:val="en-US" w:eastAsia="zh-CN"/>
        </w:rPr>
        <w:t>；3）</w:t>
      </w:r>
      <w:r>
        <w:rPr>
          <w:rFonts w:hint="default"/>
          <w:color w:val="auto"/>
          <w:lang w:val="en-US" w:eastAsia="zh-CN"/>
        </w:rPr>
        <w:t>挖掘机、装载机和其他工程车辆工作场所等。</w:t>
      </w:r>
    </w:p>
    <w:p w14:paraId="6C952C9C">
      <w:pPr>
        <w:pStyle w:val="4"/>
        <w:bidi w:val="0"/>
        <w:rPr>
          <w:rFonts w:hint="default"/>
          <w:color w:val="auto"/>
          <w:lang w:val="en-US" w:eastAsia="zh-CN"/>
        </w:rPr>
      </w:pPr>
      <w:bookmarkStart w:id="226" w:name="_Toc20118"/>
      <w:bookmarkStart w:id="227" w:name="_Toc1467"/>
      <w:bookmarkStart w:id="228" w:name="_Toc22441"/>
      <w:r>
        <w:rPr>
          <w:rFonts w:hint="default"/>
          <w:color w:val="auto"/>
          <w:lang w:val="en-US" w:eastAsia="zh-CN"/>
        </w:rPr>
        <w:t>3.1.11 触电</w:t>
      </w:r>
      <w:bookmarkEnd w:id="226"/>
      <w:bookmarkEnd w:id="227"/>
      <w:bookmarkEnd w:id="228"/>
    </w:p>
    <w:p w14:paraId="6A1D9253">
      <w:pPr>
        <w:rPr>
          <w:rFonts w:hint="default"/>
          <w:color w:val="auto"/>
          <w:lang w:val="en-US" w:eastAsia="zh-CN"/>
        </w:rPr>
      </w:pPr>
      <w:r>
        <w:rPr>
          <w:rFonts w:hint="default"/>
          <w:color w:val="auto"/>
          <w:lang w:val="en-US" w:eastAsia="zh-CN"/>
        </w:rPr>
        <w:t>电力是现代工业最主要的能源之一，被广泛采用。生产装置从电力拖动到仪表控制、照明、检修焊接，都离不开各种电气设备和电能。用电安全是生产施工安全的重要组成部分。电气在运行时可能因绝缘失效，防护不良，使电气漏电，人员一旦接触便可发生触电危险。同时缺乏用电常识，违章操作也会使人触电。触电事故可造成电击、电伤和触电的二次事故。其伤害严重程度因触电部位、电压高低、电流大小和触电时间长短而不同。电击是电流通过人体内部，破坏人的心脏、肺及神经系统的正常功能极易引起死亡。而电伤则是电流的热效应，化学效应或机械效应对人形成的伤害，主要表现形式为电烧伤、电烙印和皮肤金属化。触电的二次事故是指人体触及的电流较小，一般小于摆脱电流时由于电流刺激而引起肌肉、关节振颤、痉挛而坠落、摔倒造成的伤害。其后果不很确定。</w:t>
      </w:r>
    </w:p>
    <w:p w14:paraId="29B02AD6">
      <w:pPr>
        <w:rPr>
          <w:rFonts w:hint="default"/>
          <w:color w:val="auto"/>
          <w:lang w:val="en-US" w:eastAsia="zh-CN"/>
        </w:rPr>
      </w:pPr>
      <w:r>
        <w:rPr>
          <w:rFonts w:hint="default"/>
          <w:color w:val="auto"/>
          <w:lang w:val="en-US" w:eastAsia="zh-CN"/>
        </w:rPr>
        <w:t>总之触电事故的三种形式虽严重程度各有不同，但都可能产生致人死亡的严重后果，仅仅是发生人身死亡的概率不同而已。</w:t>
      </w:r>
    </w:p>
    <w:p w14:paraId="0FBC6E3B">
      <w:pPr>
        <w:rPr>
          <w:rFonts w:hint="default"/>
          <w:color w:val="auto"/>
          <w:lang w:val="en-US" w:eastAsia="zh-CN"/>
        </w:rPr>
      </w:pPr>
      <w:r>
        <w:rPr>
          <w:rFonts w:hint="default"/>
          <w:color w:val="auto"/>
          <w:lang w:val="en-US" w:eastAsia="zh-CN"/>
        </w:rPr>
        <w:t>在本采场采矿施工中，其电源仅用空压机、破碎机、水泵等机械设备的电力拖动。用电范围较小，发生电器伤害的概率不高，但是开采环境潮湿，是电气伤害危险的重要客观环境因素，应引起采矿管理者的充分重视。</w:t>
      </w:r>
    </w:p>
    <w:p w14:paraId="508022D6">
      <w:pPr>
        <w:pStyle w:val="4"/>
        <w:bidi w:val="0"/>
        <w:rPr>
          <w:rFonts w:hint="eastAsia"/>
          <w:color w:val="auto"/>
          <w:lang w:val="en-US" w:eastAsia="zh-CN"/>
        </w:rPr>
      </w:pPr>
      <w:bookmarkStart w:id="229" w:name="_Toc29913"/>
      <w:bookmarkStart w:id="230" w:name="_Toc30436"/>
      <w:r>
        <w:rPr>
          <w:rFonts w:hint="eastAsia"/>
          <w:color w:val="auto"/>
          <w:lang w:val="en-US" w:eastAsia="zh-CN"/>
        </w:rPr>
        <w:t>3.1.12 雷击</w:t>
      </w:r>
      <w:bookmarkEnd w:id="229"/>
      <w:bookmarkEnd w:id="230"/>
    </w:p>
    <w:p w14:paraId="75C6E245">
      <w:pPr>
        <w:rPr>
          <w:rFonts w:hint="eastAsia"/>
          <w:color w:val="auto"/>
          <w:lang w:val="en-US" w:eastAsia="zh-CN"/>
        </w:rPr>
      </w:pPr>
      <w:r>
        <w:rPr>
          <w:rFonts w:hint="eastAsia"/>
          <w:color w:val="auto"/>
          <w:lang w:val="en-US" w:eastAsia="zh-CN"/>
        </w:rPr>
        <w:t>矿区位于南方丘陵地区，年雷爆日数多，地面工业设施及建筑物和人员易受雷击。</w:t>
      </w:r>
    </w:p>
    <w:p w14:paraId="42599152">
      <w:pPr>
        <w:pStyle w:val="3"/>
        <w:bidi w:val="0"/>
        <w:rPr>
          <w:rFonts w:hint="default"/>
          <w:color w:val="auto"/>
          <w:lang w:val="en-US" w:eastAsia="zh-CN"/>
        </w:rPr>
      </w:pPr>
      <w:bookmarkStart w:id="231" w:name="_Toc19087"/>
      <w:bookmarkStart w:id="232" w:name="_Toc11660"/>
      <w:bookmarkStart w:id="233" w:name="_Toc29555"/>
      <w:r>
        <w:rPr>
          <w:rFonts w:hint="default"/>
          <w:color w:val="auto"/>
          <w:lang w:val="en-US" w:eastAsia="zh-CN"/>
        </w:rPr>
        <w:t>3.2 有害因素分析</w:t>
      </w:r>
      <w:bookmarkEnd w:id="231"/>
      <w:bookmarkEnd w:id="232"/>
      <w:bookmarkEnd w:id="233"/>
    </w:p>
    <w:p w14:paraId="3AEEF2DC">
      <w:pPr>
        <w:pStyle w:val="4"/>
        <w:bidi w:val="0"/>
        <w:rPr>
          <w:rFonts w:hint="default"/>
          <w:color w:val="auto"/>
          <w:lang w:val="en-US" w:eastAsia="zh-CN"/>
        </w:rPr>
      </w:pPr>
      <w:bookmarkStart w:id="234" w:name="_Toc25225"/>
      <w:bookmarkStart w:id="235" w:name="_Toc12207"/>
      <w:bookmarkStart w:id="236" w:name="_Toc10021"/>
      <w:r>
        <w:rPr>
          <w:rFonts w:hint="default"/>
          <w:color w:val="auto"/>
          <w:lang w:val="en-US" w:eastAsia="zh-CN"/>
        </w:rPr>
        <w:t>3.2.1 粉尘</w:t>
      </w:r>
      <w:bookmarkEnd w:id="234"/>
      <w:bookmarkEnd w:id="235"/>
      <w:bookmarkEnd w:id="236"/>
    </w:p>
    <w:p w14:paraId="799A3D90">
      <w:pPr>
        <w:rPr>
          <w:rFonts w:hint="default"/>
          <w:color w:val="auto"/>
          <w:lang w:val="en-US" w:eastAsia="zh-CN"/>
        </w:rPr>
      </w:pPr>
      <w:r>
        <w:rPr>
          <w:rFonts w:hint="default"/>
          <w:color w:val="auto"/>
          <w:lang w:val="en-US" w:eastAsia="zh-CN"/>
        </w:rPr>
        <w:t>粉尘是矿山的主要职业危害之一。粉尘的危害性大小与粉尘的分散度、游离二氧化硅含量和粉尘物质组成有关。随着游离二氧化硅含量的增加、含硫量的增加，粉尘的危害增大。在不同粒径的粉尘中，呼吸性粉尘对人的危害较大。在矿山生产过程中会产生大量的粉尘，若通风防尘系统不符合规程要求，个体劳动防护用品失效，从业人员长期处于粉尘超标的作业环境中，易患职业病。</w:t>
      </w:r>
    </w:p>
    <w:p w14:paraId="782B9F96">
      <w:pPr>
        <w:rPr>
          <w:rFonts w:hint="default"/>
          <w:color w:val="auto"/>
          <w:lang w:val="en-US" w:eastAsia="zh-CN"/>
        </w:rPr>
      </w:pPr>
      <w:r>
        <w:rPr>
          <w:rFonts w:hint="default"/>
          <w:color w:val="auto"/>
          <w:lang w:val="en-US" w:eastAsia="zh-CN"/>
        </w:rPr>
        <w:t>矿山生产过程中主要产尘点有</w:t>
      </w:r>
      <w:r>
        <w:rPr>
          <w:rFonts w:hint="eastAsia"/>
          <w:color w:val="auto"/>
          <w:lang w:val="en-US" w:eastAsia="zh-CN"/>
        </w:rPr>
        <w:t>：</w:t>
      </w:r>
      <w:r>
        <w:rPr>
          <w:rFonts w:hint="default"/>
          <w:color w:val="auto"/>
          <w:lang w:val="en-US" w:eastAsia="zh-CN"/>
        </w:rPr>
        <w:t>回采及掘进作业面、凿岩和爆破作业、装矿运输作业、二次破碎、矿仓卸矿和放矿点等。</w:t>
      </w:r>
    </w:p>
    <w:p w14:paraId="79F4E715">
      <w:pPr>
        <w:pStyle w:val="4"/>
        <w:bidi w:val="0"/>
        <w:rPr>
          <w:rFonts w:hint="default"/>
          <w:color w:val="auto"/>
          <w:lang w:val="en-US" w:eastAsia="zh-CN"/>
        </w:rPr>
      </w:pPr>
      <w:bookmarkStart w:id="237" w:name="_Toc2142"/>
      <w:bookmarkStart w:id="238" w:name="_Toc22657"/>
      <w:bookmarkStart w:id="239" w:name="_Toc6672"/>
      <w:r>
        <w:rPr>
          <w:rFonts w:hint="default"/>
          <w:color w:val="auto"/>
          <w:lang w:val="en-US" w:eastAsia="zh-CN"/>
        </w:rPr>
        <w:t>3.2.2 噪声与振动</w:t>
      </w:r>
      <w:bookmarkEnd w:id="237"/>
      <w:bookmarkEnd w:id="238"/>
      <w:bookmarkEnd w:id="239"/>
    </w:p>
    <w:p w14:paraId="410637E2">
      <w:pPr>
        <w:rPr>
          <w:rFonts w:hint="default"/>
          <w:color w:val="auto"/>
          <w:lang w:val="en-US" w:eastAsia="zh-CN"/>
        </w:rPr>
      </w:pPr>
      <w:r>
        <w:rPr>
          <w:rFonts w:hint="default"/>
          <w:color w:val="auto"/>
          <w:lang w:val="en-US" w:eastAsia="zh-CN"/>
        </w:rPr>
        <w:t>噪声就是使人感到不愉快声音，不仅对人体的听力、心理、生理产生影响，还可引起职业性耳聋，对生产活动也会产生不利影响。在高噪声环境中作业，人的心情易烦躁，容易疲劳，反应迟钝，工作效率低，可诱发事故。噪声产生于物体的振动，振动是生产中常见的有害因素，它与噪声相结合作用于人体。振动可直接作用于人体，也可通过其他物体作用于人体，按其作用部位可分为局部振动和全身振动。振动多见于使用风动工具、电动工具及其他有较强机械磨擦作用的地方。</w:t>
      </w:r>
    </w:p>
    <w:p w14:paraId="6E156F91">
      <w:pPr>
        <w:rPr>
          <w:rFonts w:hint="default"/>
          <w:color w:val="auto"/>
          <w:lang w:val="en-US" w:eastAsia="zh-CN"/>
        </w:rPr>
      </w:pPr>
      <w:r>
        <w:rPr>
          <w:rFonts w:hint="default"/>
          <w:color w:val="auto"/>
          <w:lang w:val="en-US" w:eastAsia="zh-CN"/>
        </w:rPr>
        <w:t>矿山生产过程中，噪声与振动主要来源于气动凿岩工具的空气动力噪声，各设备在运转中的振动、磨擦、碰撞而产生的机械噪声和电动机等电气设备所产生的电磁辐射噪声。</w:t>
      </w:r>
    </w:p>
    <w:p w14:paraId="51255C94">
      <w:pPr>
        <w:rPr>
          <w:rFonts w:hint="default"/>
          <w:color w:val="auto"/>
          <w:lang w:val="en-US" w:eastAsia="zh-CN"/>
        </w:rPr>
      </w:pPr>
      <w:r>
        <w:rPr>
          <w:rFonts w:hint="default"/>
          <w:color w:val="auto"/>
          <w:lang w:val="en-US" w:eastAsia="zh-CN"/>
        </w:rPr>
        <w:t>产生的噪声源和振动的设备和场所主要有</w:t>
      </w:r>
      <w:r>
        <w:rPr>
          <w:rFonts w:hint="eastAsia"/>
          <w:color w:val="auto"/>
          <w:lang w:val="en-US" w:eastAsia="zh-CN"/>
        </w:rPr>
        <w:t>：</w:t>
      </w:r>
    </w:p>
    <w:p w14:paraId="0C4782C9">
      <w:pPr>
        <w:rPr>
          <w:rFonts w:hint="default"/>
          <w:color w:val="auto"/>
          <w:lang w:val="en-US" w:eastAsia="zh-CN"/>
        </w:rPr>
      </w:pPr>
      <w:r>
        <w:rPr>
          <w:rFonts w:hint="default"/>
          <w:color w:val="auto"/>
          <w:lang w:val="en-US" w:eastAsia="zh-CN"/>
        </w:rPr>
        <w:t>1</w:t>
      </w:r>
      <w:r>
        <w:rPr>
          <w:rFonts w:hint="default" w:ascii="Times New Roman" w:hAnsi="Times New Roman" w:eastAsia="宋体" w:cs="Times New Roman"/>
          <w:color w:val="auto"/>
          <w:kern w:val="2"/>
          <w:sz w:val="28"/>
          <w:szCs w:val="24"/>
          <w:lang w:val="en-US" w:eastAsia="zh-CN" w:bidi="ar-SA"/>
        </w:rPr>
        <w:t>.</w:t>
      </w:r>
      <w:r>
        <w:rPr>
          <w:rFonts w:hint="eastAsia" w:cs="Times New Roman"/>
          <w:color w:val="auto"/>
          <w:kern w:val="2"/>
          <w:sz w:val="28"/>
          <w:szCs w:val="24"/>
          <w:lang w:val="en-US" w:eastAsia="zh-CN" w:bidi="ar-SA"/>
        </w:rPr>
        <w:t xml:space="preserve"> </w:t>
      </w:r>
      <w:r>
        <w:rPr>
          <w:rFonts w:hint="default"/>
          <w:color w:val="auto"/>
          <w:lang w:val="en-US" w:eastAsia="zh-CN"/>
        </w:rPr>
        <w:t>空压机和空压机泵房</w:t>
      </w:r>
      <w:r>
        <w:rPr>
          <w:rFonts w:hint="eastAsia"/>
          <w:color w:val="auto"/>
          <w:lang w:val="en-US" w:eastAsia="zh-CN"/>
        </w:rPr>
        <w:t>；</w:t>
      </w:r>
    </w:p>
    <w:p w14:paraId="133EEDD5">
      <w:pPr>
        <w:rPr>
          <w:rFonts w:hint="default"/>
          <w:color w:val="auto"/>
          <w:lang w:val="en-US" w:eastAsia="zh-CN"/>
        </w:rPr>
      </w:pPr>
      <w:r>
        <w:rPr>
          <w:rFonts w:hint="default"/>
          <w:color w:val="auto"/>
          <w:lang w:val="en-US" w:eastAsia="zh-CN"/>
        </w:rPr>
        <w:t>2</w:t>
      </w:r>
      <w:r>
        <w:rPr>
          <w:rFonts w:hint="default" w:ascii="Times New Roman" w:hAnsi="Times New Roman" w:eastAsia="宋体" w:cs="Times New Roman"/>
          <w:color w:val="auto"/>
          <w:kern w:val="2"/>
          <w:sz w:val="28"/>
          <w:szCs w:val="24"/>
          <w:lang w:val="en-US" w:eastAsia="zh-CN" w:bidi="ar-SA"/>
        </w:rPr>
        <w:t>.</w:t>
      </w:r>
      <w:r>
        <w:rPr>
          <w:rFonts w:hint="eastAsia" w:cs="Times New Roman"/>
          <w:color w:val="auto"/>
          <w:kern w:val="2"/>
          <w:sz w:val="28"/>
          <w:szCs w:val="24"/>
          <w:lang w:val="en-US" w:eastAsia="zh-CN" w:bidi="ar-SA"/>
        </w:rPr>
        <w:t xml:space="preserve"> </w:t>
      </w:r>
      <w:r>
        <w:rPr>
          <w:rFonts w:hint="default"/>
          <w:color w:val="auto"/>
          <w:lang w:val="en-US" w:eastAsia="zh-CN"/>
        </w:rPr>
        <w:t>爆破作业场所</w:t>
      </w:r>
      <w:r>
        <w:rPr>
          <w:rFonts w:hint="eastAsia"/>
          <w:color w:val="auto"/>
          <w:lang w:val="en-US" w:eastAsia="zh-CN"/>
        </w:rPr>
        <w:t>；</w:t>
      </w:r>
    </w:p>
    <w:p w14:paraId="30C8864D">
      <w:pPr>
        <w:rPr>
          <w:rFonts w:hint="default"/>
          <w:color w:val="auto"/>
          <w:lang w:val="en-US" w:eastAsia="zh-CN"/>
        </w:rPr>
      </w:pPr>
      <w:r>
        <w:rPr>
          <w:rFonts w:hint="default"/>
          <w:color w:val="auto"/>
          <w:lang w:val="en-US" w:eastAsia="zh-CN"/>
        </w:rPr>
        <w:t>3</w:t>
      </w:r>
      <w:r>
        <w:rPr>
          <w:rFonts w:hint="default" w:ascii="Times New Roman" w:hAnsi="Times New Roman" w:eastAsia="宋体" w:cs="Times New Roman"/>
          <w:color w:val="auto"/>
          <w:kern w:val="2"/>
          <w:sz w:val="28"/>
          <w:szCs w:val="24"/>
          <w:lang w:val="en-US" w:eastAsia="zh-CN" w:bidi="ar-SA"/>
        </w:rPr>
        <w:t>.</w:t>
      </w:r>
      <w:r>
        <w:rPr>
          <w:rFonts w:hint="eastAsia" w:cs="Times New Roman"/>
          <w:color w:val="auto"/>
          <w:kern w:val="2"/>
          <w:sz w:val="28"/>
          <w:szCs w:val="24"/>
          <w:lang w:val="en-US" w:eastAsia="zh-CN" w:bidi="ar-SA"/>
        </w:rPr>
        <w:t xml:space="preserve"> </w:t>
      </w:r>
      <w:r>
        <w:rPr>
          <w:rFonts w:hint="default"/>
          <w:color w:val="auto"/>
          <w:lang w:val="en-US" w:eastAsia="zh-CN"/>
        </w:rPr>
        <w:t>凿岩设备和凿岩工作面</w:t>
      </w:r>
      <w:r>
        <w:rPr>
          <w:rFonts w:hint="eastAsia"/>
          <w:color w:val="auto"/>
          <w:lang w:val="en-US" w:eastAsia="zh-CN"/>
        </w:rPr>
        <w:t>；</w:t>
      </w:r>
    </w:p>
    <w:p w14:paraId="116687E8">
      <w:pPr>
        <w:rPr>
          <w:rFonts w:hint="default"/>
          <w:color w:val="auto"/>
          <w:lang w:val="en-US" w:eastAsia="zh-CN"/>
        </w:rPr>
      </w:pPr>
      <w:r>
        <w:rPr>
          <w:rFonts w:hint="default"/>
          <w:color w:val="auto"/>
          <w:lang w:val="en-US" w:eastAsia="zh-CN"/>
        </w:rPr>
        <w:t>4</w:t>
      </w:r>
      <w:r>
        <w:rPr>
          <w:rFonts w:hint="default" w:ascii="Times New Roman" w:hAnsi="Times New Roman" w:eastAsia="宋体" w:cs="Times New Roman"/>
          <w:color w:val="auto"/>
          <w:kern w:val="2"/>
          <w:sz w:val="28"/>
          <w:szCs w:val="24"/>
          <w:lang w:val="en-US" w:eastAsia="zh-CN" w:bidi="ar-SA"/>
        </w:rPr>
        <w:t>.</w:t>
      </w:r>
      <w:r>
        <w:rPr>
          <w:rFonts w:hint="eastAsia" w:cs="Times New Roman"/>
          <w:color w:val="auto"/>
          <w:kern w:val="2"/>
          <w:sz w:val="28"/>
          <w:szCs w:val="24"/>
          <w:lang w:val="en-US" w:eastAsia="zh-CN" w:bidi="ar-SA"/>
        </w:rPr>
        <w:t xml:space="preserve"> </w:t>
      </w:r>
      <w:r>
        <w:rPr>
          <w:rFonts w:hint="default"/>
          <w:color w:val="auto"/>
          <w:lang w:val="en-US" w:eastAsia="zh-CN"/>
        </w:rPr>
        <w:t>装岩机和装岩作业场所</w:t>
      </w:r>
      <w:r>
        <w:rPr>
          <w:rFonts w:hint="eastAsia"/>
          <w:color w:val="auto"/>
          <w:lang w:val="en-US" w:eastAsia="zh-CN"/>
        </w:rPr>
        <w:t>；</w:t>
      </w:r>
    </w:p>
    <w:p w14:paraId="715169E9">
      <w:pPr>
        <w:rPr>
          <w:rFonts w:hint="default"/>
          <w:color w:val="auto"/>
          <w:lang w:val="en-US" w:eastAsia="zh-CN"/>
        </w:rPr>
      </w:pPr>
      <w:r>
        <w:rPr>
          <w:rFonts w:hint="default"/>
          <w:color w:val="auto"/>
          <w:lang w:val="en-US" w:eastAsia="zh-CN"/>
        </w:rPr>
        <w:t>5</w:t>
      </w:r>
      <w:r>
        <w:rPr>
          <w:rFonts w:hint="default" w:ascii="Times New Roman" w:hAnsi="Times New Roman" w:eastAsia="宋体" w:cs="Times New Roman"/>
          <w:color w:val="auto"/>
          <w:kern w:val="2"/>
          <w:sz w:val="28"/>
          <w:szCs w:val="24"/>
          <w:lang w:val="en-US" w:eastAsia="zh-CN" w:bidi="ar-SA"/>
        </w:rPr>
        <w:t>.</w:t>
      </w:r>
      <w:r>
        <w:rPr>
          <w:rFonts w:hint="eastAsia" w:cs="Times New Roman"/>
          <w:color w:val="auto"/>
          <w:kern w:val="2"/>
          <w:sz w:val="28"/>
          <w:szCs w:val="24"/>
          <w:lang w:val="en-US" w:eastAsia="zh-CN" w:bidi="ar-SA"/>
        </w:rPr>
        <w:t xml:space="preserve"> </w:t>
      </w:r>
      <w:r>
        <w:rPr>
          <w:rFonts w:hint="default"/>
          <w:color w:val="auto"/>
          <w:lang w:val="en-US" w:eastAsia="zh-CN"/>
        </w:rPr>
        <w:t>机修设备及机修车间等。</w:t>
      </w:r>
    </w:p>
    <w:p w14:paraId="275892D8">
      <w:pPr>
        <w:pStyle w:val="4"/>
        <w:bidi w:val="0"/>
        <w:rPr>
          <w:rFonts w:hint="default"/>
          <w:color w:val="auto"/>
          <w:lang w:val="en-US" w:eastAsia="zh-CN"/>
        </w:rPr>
      </w:pPr>
      <w:bookmarkStart w:id="240" w:name="_Toc29833"/>
      <w:bookmarkStart w:id="241" w:name="_Toc28086"/>
      <w:bookmarkStart w:id="242" w:name="_Toc6536"/>
      <w:r>
        <w:rPr>
          <w:rFonts w:hint="default"/>
          <w:color w:val="auto"/>
          <w:lang w:val="en-US" w:eastAsia="zh-CN"/>
        </w:rPr>
        <w:t>3.</w:t>
      </w:r>
      <w:r>
        <w:rPr>
          <w:rFonts w:hint="eastAsia"/>
          <w:color w:val="auto"/>
          <w:lang w:val="en-US" w:eastAsia="zh-CN"/>
        </w:rPr>
        <w:t>2</w:t>
      </w:r>
      <w:r>
        <w:rPr>
          <w:rFonts w:hint="default"/>
          <w:color w:val="auto"/>
          <w:lang w:val="en-US" w:eastAsia="zh-CN"/>
        </w:rPr>
        <w:t>.</w:t>
      </w:r>
      <w:r>
        <w:rPr>
          <w:rFonts w:hint="eastAsia"/>
          <w:color w:val="auto"/>
          <w:lang w:val="en-US" w:eastAsia="zh-CN"/>
        </w:rPr>
        <w:t xml:space="preserve">3 </w:t>
      </w:r>
      <w:r>
        <w:rPr>
          <w:rFonts w:hint="default"/>
          <w:color w:val="auto"/>
          <w:lang w:val="en-US" w:eastAsia="zh-CN"/>
        </w:rPr>
        <w:t>高低温</w:t>
      </w:r>
      <w:bookmarkEnd w:id="240"/>
      <w:bookmarkEnd w:id="241"/>
      <w:bookmarkEnd w:id="242"/>
    </w:p>
    <w:p w14:paraId="71EF99E3">
      <w:pPr>
        <w:bidi w:val="0"/>
        <w:rPr>
          <w:rFonts w:hint="default"/>
          <w:color w:val="auto"/>
          <w:lang w:val="en-US" w:eastAsia="zh-CN"/>
        </w:rPr>
      </w:pPr>
      <w:r>
        <w:rPr>
          <w:rFonts w:hint="default"/>
          <w:color w:val="auto"/>
          <w:lang w:val="en-US" w:eastAsia="zh-CN"/>
        </w:rPr>
        <w:t>日最高气温达到或超过35℃时称为高温，连续数天（3天以上）的高温天气过程称为高温热浪（也称为高温酷暑）。</w:t>
      </w:r>
    </w:p>
    <w:p w14:paraId="40E9FE17">
      <w:pPr>
        <w:bidi w:val="0"/>
        <w:rPr>
          <w:rFonts w:hint="default"/>
          <w:color w:val="auto"/>
          <w:lang w:val="en-US" w:eastAsia="zh-CN"/>
        </w:rPr>
      </w:pPr>
      <w:r>
        <w:rPr>
          <w:rFonts w:hint="default"/>
          <w:color w:val="auto"/>
          <w:lang w:val="en-US" w:eastAsia="zh-CN"/>
        </w:rPr>
        <w:t>低温作业是指在生产劳动过程中，工作地点平均气温等于或低于5℃的作业。</w:t>
      </w:r>
    </w:p>
    <w:p w14:paraId="022DC61C">
      <w:pPr>
        <w:rPr>
          <w:rFonts w:hint="default"/>
          <w:color w:val="auto"/>
          <w:lang w:val="en-US" w:eastAsia="zh-CN"/>
        </w:rPr>
      </w:pPr>
      <w:r>
        <w:rPr>
          <w:rFonts w:hint="default"/>
          <w:color w:val="auto"/>
          <w:lang w:val="en-US" w:eastAsia="zh-CN"/>
        </w:rPr>
        <w:t>据德安县气象局提供的气象统计资料，最高气温41.2℃，最低气温</w:t>
      </w:r>
      <w:r>
        <w:rPr>
          <w:rFonts w:hint="eastAsia" w:ascii="宋体" w:hAnsi="宋体" w:eastAsia="宋体" w:cs="宋体"/>
          <w:color w:val="auto"/>
          <w:lang w:val="en-US" w:eastAsia="zh-CN"/>
        </w:rPr>
        <w:t>-</w:t>
      </w:r>
      <w:r>
        <w:rPr>
          <w:rFonts w:hint="default"/>
          <w:color w:val="auto"/>
          <w:lang w:val="en-US" w:eastAsia="zh-CN"/>
        </w:rPr>
        <w:t>10.3℃。</w:t>
      </w:r>
    </w:p>
    <w:p w14:paraId="54DD4B92">
      <w:pPr>
        <w:bidi w:val="0"/>
        <w:rPr>
          <w:rFonts w:hint="default"/>
          <w:color w:val="auto"/>
          <w:lang w:val="en-US" w:eastAsia="zh-CN"/>
        </w:rPr>
      </w:pPr>
      <w:r>
        <w:rPr>
          <w:rFonts w:hint="default"/>
          <w:color w:val="auto"/>
          <w:lang w:val="en-US" w:eastAsia="zh-CN"/>
        </w:rPr>
        <w:t>因此，</w:t>
      </w:r>
      <w:r>
        <w:rPr>
          <w:rFonts w:hint="eastAsia"/>
          <w:color w:val="auto"/>
          <w:lang w:val="en-US" w:eastAsia="zh-CN"/>
        </w:rPr>
        <w:t>矿山</w:t>
      </w:r>
      <w:r>
        <w:rPr>
          <w:rFonts w:hint="default"/>
          <w:color w:val="auto"/>
          <w:lang w:val="en-US" w:eastAsia="zh-CN"/>
        </w:rPr>
        <w:t>存在</w:t>
      </w:r>
      <w:r>
        <w:rPr>
          <w:rFonts w:hint="eastAsia"/>
          <w:color w:val="auto"/>
          <w:lang w:val="en-US" w:eastAsia="zh-CN"/>
        </w:rPr>
        <w:t>高低温</w:t>
      </w:r>
      <w:r>
        <w:rPr>
          <w:rFonts w:hint="eastAsia" w:ascii="宋体" w:hAnsi="宋体" w:cs="宋体"/>
          <w:color w:val="auto"/>
          <w:spacing w:val="-2"/>
          <w:sz w:val="28"/>
          <w:szCs w:val="28"/>
          <w:lang w:val="en-US" w:eastAsia="zh-CN"/>
        </w:rPr>
        <w:t>有害</w:t>
      </w:r>
      <w:r>
        <w:rPr>
          <w:rFonts w:hint="default"/>
          <w:color w:val="auto"/>
          <w:lang w:val="en-US" w:eastAsia="zh-CN"/>
        </w:rPr>
        <w:t>因素。</w:t>
      </w:r>
    </w:p>
    <w:p w14:paraId="249CD5A3">
      <w:pPr>
        <w:pStyle w:val="3"/>
        <w:bidi w:val="0"/>
        <w:rPr>
          <w:rFonts w:hint="default"/>
          <w:color w:val="auto"/>
          <w:lang w:val="en-US" w:eastAsia="zh-CN"/>
        </w:rPr>
      </w:pPr>
      <w:bookmarkStart w:id="243" w:name="_Toc15008"/>
      <w:bookmarkStart w:id="244" w:name="_Toc14910"/>
      <w:bookmarkStart w:id="245" w:name="_Toc12390"/>
      <w:r>
        <w:rPr>
          <w:rFonts w:hint="eastAsia"/>
          <w:color w:val="auto"/>
          <w:lang w:val="en-US" w:eastAsia="zh-CN"/>
        </w:rPr>
        <w:t>3.3 重大危险源辨识</w:t>
      </w:r>
      <w:bookmarkEnd w:id="243"/>
      <w:bookmarkEnd w:id="244"/>
      <w:bookmarkEnd w:id="245"/>
    </w:p>
    <w:p w14:paraId="2B4952E0">
      <w:pPr>
        <w:rPr>
          <w:rFonts w:hint="default"/>
          <w:color w:val="auto"/>
          <w:lang w:val="en-US" w:eastAsia="zh-CN"/>
        </w:rPr>
      </w:pPr>
      <w:r>
        <w:rPr>
          <w:rFonts w:hint="default"/>
          <w:color w:val="auto"/>
          <w:lang w:val="en-US" w:eastAsia="zh-CN"/>
        </w:rPr>
        <w:t>本项目不设爆破器材库，仅设爆破器材临时存放点，爆破作业的炸药由当地民爆公司负责配送。矿山当日放炮，当日由专业配送炸药物品的公司运输配送到矿山，多余的火工材料当日运回，不在矿山滞留。</w:t>
      </w:r>
    </w:p>
    <w:p w14:paraId="04713786">
      <w:pPr>
        <w:rPr>
          <w:rFonts w:hint="default"/>
          <w:color w:val="auto"/>
          <w:lang w:val="en-US" w:eastAsia="zh-CN"/>
        </w:rPr>
      </w:pPr>
      <w:r>
        <w:rPr>
          <w:rFonts w:hint="default"/>
          <w:color w:val="auto"/>
          <w:lang w:val="en-US" w:eastAsia="zh-CN"/>
        </w:rPr>
        <w:t>矿山未设置储油罐库，也未使用到其他危险化学品。</w:t>
      </w:r>
    </w:p>
    <w:p w14:paraId="2CF620F7">
      <w:pPr>
        <w:rPr>
          <w:rFonts w:hint="default"/>
          <w:color w:val="auto"/>
          <w:lang w:val="en-US" w:eastAsia="zh-CN"/>
        </w:rPr>
      </w:pPr>
      <w:r>
        <w:rPr>
          <w:rFonts w:hint="default"/>
          <w:color w:val="auto"/>
          <w:lang w:val="en-US" w:eastAsia="zh-CN"/>
        </w:rPr>
        <w:t>综上所述，该矿山不涉及危险化学品重大危险源。</w:t>
      </w:r>
    </w:p>
    <w:p w14:paraId="589391E5">
      <w:pPr>
        <w:pStyle w:val="3"/>
        <w:bidi w:val="0"/>
        <w:rPr>
          <w:rFonts w:hint="default"/>
          <w:color w:val="auto"/>
          <w:lang w:val="en-US" w:eastAsia="zh-CN"/>
        </w:rPr>
      </w:pPr>
      <w:bookmarkStart w:id="246" w:name="_Toc4767"/>
      <w:bookmarkStart w:id="247" w:name="_Toc7764"/>
      <w:bookmarkStart w:id="248" w:name="_Toc1774"/>
      <w:r>
        <w:rPr>
          <w:rFonts w:hint="default"/>
          <w:color w:val="auto"/>
          <w:lang w:val="en-US" w:eastAsia="zh-CN"/>
        </w:rPr>
        <w:t>3.</w:t>
      </w:r>
      <w:r>
        <w:rPr>
          <w:rFonts w:hint="eastAsia"/>
          <w:color w:val="auto"/>
          <w:lang w:val="en-US" w:eastAsia="zh-CN"/>
        </w:rPr>
        <w:t>4</w:t>
      </w:r>
      <w:r>
        <w:rPr>
          <w:rFonts w:hint="default"/>
          <w:color w:val="auto"/>
          <w:lang w:val="en-US" w:eastAsia="zh-CN"/>
        </w:rPr>
        <w:t xml:space="preserve"> 危险、有害因素分析辨识结果</w:t>
      </w:r>
      <w:bookmarkEnd w:id="246"/>
      <w:bookmarkEnd w:id="247"/>
      <w:bookmarkEnd w:id="248"/>
    </w:p>
    <w:p w14:paraId="267E4195">
      <w:pPr>
        <w:rPr>
          <w:rFonts w:hint="default"/>
          <w:color w:val="auto"/>
          <w:lang w:val="en-US" w:eastAsia="zh-CN"/>
        </w:rPr>
      </w:pPr>
      <w:r>
        <w:rPr>
          <w:rFonts w:hint="default"/>
          <w:color w:val="auto"/>
          <w:lang w:val="en-US" w:eastAsia="zh-CN"/>
        </w:rPr>
        <w:t>1</w:t>
      </w:r>
      <w:r>
        <w:rPr>
          <w:rFonts w:hint="default" w:ascii="Times New Roman" w:hAnsi="Times New Roman" w:eastAsia="宋体" w:cs="Times New Roman"/>
          <w:color w:val="auto"/>
          <w:kern w:val="2"/>
          <w:sz w:val="28"/>
          <w:szCs w:val="24"/>
          <w:lang w:val="en-US" w:eastAsia="zh-CN" w:bidi="ar-SA"/>
        </w:rPr>
        <w:t>.</w:t>
      </w:r>
      <w:r>
        <w:rPr>
          <w:rFonts w:hint="eastAsia" w:cs="Times New Roman"/>
          <w:color w:val="auto"/>
          <w:kern w:val="2"/>
          <w:sz w:val="28"/>
          <w:szCs w:val="24"/>
          <w:lang w:val="en-US" w:eastAsia="zh-CN" w:bidi="ar-SA"/>
        </w:rPr>
        <w:t xml:space="preserve"> </w:t>
      </w:r>
      <w:r>
        <w:rPr>
          <w:rFonts w:hint="default"/>
          <w:color w:val="auto"/>
          <w:lang w:val="en-US" w:eastAsia="zh-CN"/>
        </w:rPr>
        <w:t>项目不构成重大危险源</w:t>
      </w:r>
      <w:r>
        <w:rPr>
          <w:rFonts w:hint="eastAsia"/>
          <w:color w:val="auto"/>
          <w:lang w:val="en-US" w:eastAsia="zh-CN"/>
        </w:rPr>
        <w:t>；</w:t>
      </w:r>
    </w:p>
    <w:p w14:paraId="191C9BFE">
      <w:pPr>
        <w:rPr>
          <w:rFonts w:hint="default"/>
          <w:color w:val="auto"/>
          <w:lang w:val="en-US" w:eastAsia="zh-CN"/>
        </w:rPr>
      </w:pPr>
      <w:r>
        <w:rPr>
          <w:rFonts w:hint="default"/>
          <w:color w:val="auto"/>
          <w:lang w:val="en-US" w:eastAsia="zh-CN"/>
        </w:rPr>
        <w:t>2</w:t>
      </w:r>
      <w:r>
        <w:rPr>
          <w:rFonts w:hint="default" w:ascii="Times New Roman" w:hAnsi="Times New Roman" w:eastAsia="宋体" w:cs="Times New Roman"/>
          <w:color w:val="auto"/>
          <w:kern w:val="2"/>
          <w:sz w:val="28"/>
          <w:szCs w:val="24"/>
          <w:lang w:val="en-US" w:eastAsia="zh-CN" w:bidi="ar-SA"/>
        </w:rPr>
        <w:t>.</w:t>
      </w:r>
      <w:r>
        <w:rPr>
          <w:rFonts w:hint="eastAsia" w:cs="Times New Roman"/>
          <w:color w:val="auto"/>
          <w:kern w:val="2"/>
          <w:sz w:val="28"/>
          <w:szCs w:val="24"/>
          <w:lang w:val="en-US" w:eastAsia="zh-CN" w:bidi="ar-SA"/>
        </w:rPr>
        <w:t xml:space="preserve"> </w:t>
      </w:r>
      <w:r>
        <w:rPr>
          <w:rFonts w:hint="default"/>
          <w:color w:val="auto"/>
          <w:lang w:val="en-US" w:eastAsia="zh-CN"/>
        </w:rPr>
        <w:t>项目生产过程中潜在的危险、有害因素分析表明</w:t>
      </w:r>
      <w:r>
        <w:rPr>
          <w:rFonts w:hint="eastAsia"/>
          <w:color w:val="auto"/>
          <w:lang w:val="en-US" w:eastAsia="zh-CN"/>
        </w:rPr>
        <w:t>：</w:t>
      </w:r>
      <w:r>
        <w:rPr>
          <w:rFonts w:hint="default"/>
          <w:color w:val="auto"/>
          <w:lang w:val="en-US" w:eastAsia="zh-CN"/>
        </w:rPr>
        <w:t>该矿在生产过程中存在火药爆炸、放炮、容器爆炸、坍塌、滑坡、机械伤害、火灾、高处坠落、物体打击、车辆伤害、触电</w:t>
      </w:r>
      <w:r>
        <w:rPr>
          <w:rFonts w:hint="eastAsia"/>
          <w:color w:val="auto"/>
          <w:lang w:val="en-US" w:eastAsia="zh-CN"/>
        </w:rPr>
        <w:t>、雷击</w:t>
      </w:r>
      <w:r>
        <w:rPr>
          <w:rFonts w:hint="default"/>
          <w:color w:val="auto"/>
          <w:lang w:val="en-US" w:eastAsia="zh-CN"/>
        </w:rPr>
        <w:t>、粉尘、噪声与振动</w:t>
      </w:r>
      <w:r>
        <w:rPr>
          <w:rFonts w:hint="eastAsia"/>
          <w:color w:val="auto"/>
          <w:lang w:val="en-US" w:eastAsia="zh-CN"/>
        </w:rPr>
        <w:t>、高低温</w:t>
      </w:r>
      <w:r>
        <w:rPr>
          <w:rFonts w:hint="default"/>
          <w:color w:val="auto"/>
          <w:lang w:val="en-US" w:eastAsia="zh-CN"/>
        </w:rPr>
        <w:t>等危险、有害因素，属存在危险、有害因素较多的矿山，因此，矿山在开采过程中要高度重视，严格管理，全面落实安全生产责任制，有效降低安全风险，保障生产安全。</w:t>
      </w:r>
    </w:p>
    <w:p w14:paraId="38E52696">
      <w:pPr>
        <w:rPr>
          <w:rFonts w:hint="default"/>
          <w:color w:val="auto"/>
          <w:lang w:val="en-US" w:eastAsia="zh-CN"/>
        </w:rPr>
      </w:pPr>
    </w:p>
    <w:p w14:paraId="65F7906B">
      <w:pPr>
        <w:rPr>
          <w:rFonts w:hint="default"/>
          <w:color w:val="auto"/>
          <w:lang w:val="en-US" w:eastAsia="zh-CN"/>
        </w:rPr>
      </w:pPr>
    </w:p>
    <w:p w14:paraId="415B0CAD">
      <w:pPr>
        <w:rPr>
          <w:rFonts w:hint="default"/>
          <w:color w:val="auto"/>
          <w:lang w:val="en-US" w:eastAsia="zh-CN"/>
        </w:rPr>
        <w:sectPr>
          <w:pgSz w:w="11906" w:h="16839"/>
          <w:pgMar w:top="1417" w:right="1417" w:bottom="1417" w:left="1417" w:header="850" w:footer="992" w:gutter="0"/>
          <w:pgNumType w:fmt="decimal"/>
          <w:cols w:space="425" w:num="1"/>
          <w:rtlGutter w:val="0"/>
          <w:docGrid w:linePitch="312" w:charSpace="0"/>
        </w:sectPr>
      </w:pPr>
    </w:p>
    <w:p w14:paraId="1E8F7704">
      <w:pPr>
        <w:pStyle w:val="2"/>
        <w:numPr>
          <w:ilvl w:val="0"/>
          <w:numId w:val="1"/>
        </w:numPr>
        <w:bidi w:val="0"/>
        <w:ind w:left="0" w:leftChars="0" w:firstLine="0" w:firstLineChars="0"/>
        <w:rPr>
          <w:rFonts w:hint="default" w:ascii="Times New Roman" w:hAnsi="Times New Roman" w:cs="Times New Roman"/>
          <w:color w:val="auto"/>
          <w:lang w:val="en-US" w:eastAsia="zh-CN"/>
        </w:rPr>
      </w:pPr>
      <w:bookmarkStart w:id="249" w:name="_Toc21010"/>
      <w:bookmarkStart w:id="250" w:name="_Toc23887"/>
      <w:bookmarkStart w:id="251" w:name="_Toc6520"/>
      <w:r>
        <w:rPr>
          <w:rFonts w:hint="default" w:ascii="Times New Roman" w:hAnsi="Times New Roman" w:cs="Times New Roman"/>
          <w:color w:val="auto"/>
          <w:lang w:val="en-US" w:eastAsia="zh-CN"/>
        </w:rPr>
        <w:t>评价方法选择和评价单元划分</w:t>
      </w:r>
      <w:bookmarkEnd w:id="249"/>
      <w:bookmarkEnd w:id="250"/>
      <w:bookmarkEnd w:id="251"/>
    </w:p>
    <w:p w14:paraId="4BAB8D18">
      <w:pPr>
        <w:rPr>
          <w:rFonts w:hint="default"/>
          <w:color w:val="auto"/>
          <w:lang w:val="en-US" w:eastAsia="zh-CN"/>
        </w:rPr>
      </w:pPr>
      <w:r>
        <w:rPr>
          <w:rFonts w:hint="default"/>
          <w:color w:val="auto"/>
          <w:lang w:val="en-US" w:eastAsia="zh-CN"/>
        </w:rPr>
        <w:t>划分评价单元的目的是为便于评价工作的有序进行，并有利于提高评价工作的准确性。安全评价方法是对系统的危险因素、有害因素及其危险、危害程度进行分析、评价的工具。</w:t>
      </w:r>
    </w:p>
    <w:p w14:paraId="5CF62765">
      <w:pPr>
        <w:pStyle w:val="3"/>
        <w:bidi w:val="0"/>
        <w:rPr>
          <w:rFonts w:hint="default"/>
          <w:color w:val="auto"/>
          <w:lang w:val="en-US" w:eastAsia="zh-CN"/>
        </w:rPr>
      </w:pPr>
      <w:bookmarkStart w:id="252" w:name="_Toc25592"/>
      <w:bookmarkStart w:id="253" w:name="_Toc28563"/>
      <w:bookmarkStart w:id="254" w:name="_Toc30987"/>
      <w:r>
        <w:rPr>
          <w:rFonts w:hint="eastAsia"/>
          <w:color w:val="auto"/>
          <w:lang w:val="en-US" w:eastAsia="zh-CN"/>
        </w:rPr>
        <w:t>4.1 评价单元划分</w:t>
      </w:r>
      <w:bookmarkEnd w:id="252"/>
      <w:bookmarkEnd w:id="253"/>
      <w:bookmarkEnd w:id="254"/>
    </w:p>
    <w:p w14:paraId="471ABC61">
      <w:pPr>
        <w:rPr>
          <w:rFonts w:hint="default"/>
          <w:color w:val="auto"/>
          <w:lang w:val="en-US" w:eastAsia="zh-CN"/>
        </w:rPr>
      </w:pPr>
      <w:r>
        <w:rPr>
          <w:rFonts w:hint="default"/>
          <w:color w:val="auto"/>
          <w:lang w:val="en-US" w:eastAsia="zh-CN"/>
        </w:rPr>
        <w:t>按照评价单元的划分原则和方法，考虑该工程项目中危险、有害因素的危害程度以及露天开采的特殊工艺，划分如下评价单元：安全管理、</w:t>
      </w:r>
      <w:r>
        <w:rPr>
          <w:rFonts w:hint="eastAsia"/>
          <w:color w:val="auto"/>
          <w:lang w:val="en-US" w:eastAsia="zh-CN"/>
        </w:rPr>
        <w:t>露天</w:t>
      </w:r>
      <w:r>
        <w:rPr>
          <w:rFonts w:hint="default"/>
          <w:color w:val="auto"/>
          <w:lang w:val="en-US" w:eastAsia="zh-CN"/>
        </w:rPr>
        <w:t>采</w:t>
      </w:r>
      <w:r>
        <w:rPr>
          <w:rFonts w:hint="default" w:ascii="Times New Roman" w:hAnsi="Times New Roman" w:eastAsia="宋体" w:cs="Times New Roman"/>
          <w:color w:val="auto"/>
          <w:lang w:val="en-US" w:eastAsia="zh-CN"/>
        </w:rPr>
        <w:t>场、边坡管理、供配电设施、防排水、</w:t>
      </w:r>
      <w:r>
        <w:rPr>
          <w:rFonts w:hint="eastAsia" w:ascii="Times New Roman" w:hAnsi="Times New Roman" w:eastAsia="宋体" w:cs="Times New Roman"/>
          <w:color w:val="auto"/>
          <w:lang w:val="en-US" w:eastAsia="zh-CN"/>
        </w:rPr>
        <w:t>防灭火、</w:t>
      </w:r>
      <w:r>
        <w:rPr>
          <w:rFonts w:hint="default" w:ascii="Times New Roman" w:hAnsi="Times New Roman" w:eastAsia="宋体" w:cs="Times New Roman"/>
          <w:color w:val="auto"/>
          <w:lang w:val="en-US" w:eastAsia="zh-CN"/>
        </w:rPr>
        <w:t>重大事故隐患判定</w:t>
      </w:r>
      <w:r>
        <w:rPr>
          <w:rFonts w:hint="eastAsia" w:ascii="Times New Roman" w:hAnsi="Times New Roman" w:eastAsia="宋体" w:cs="Times New Roman"/>
          <w:color w:val="auto"/>
          <w:lang w:val="en-US" w:eastAsia="zh-CN"/>
        </w:rPr>
        <w:t>和综合安全评价</w:t>
      </w:r>
      <w:r>
        <w:rPr>
          <w:rFonts w:hint="default" w:ascii="Times New Roman" w:hAnsi="Times New Roman" w:eastAsia="宋体" w:cs="Times New Roman"/>
          <w:color w:val="auto"/>
          <w:lang w:val="en-US" w:eastAsia="zh-CN"/>
        </w:rPr>
        <w:t>单元</w:t>
      </w:r>
      <w:r>
        <w:rPr>
          <w:rFonts w:hint="default"/>
          <w:color w:val="auto"/>
          <w:lang w:val="en-US" w:eastAsia="zh-CN"/>
        </w:rPr>
        <w:t>等划分</w:t>
      </w:r>
      <w:r>
        <w:rPr>
          <w:rFonts w:hint="eastAsia"/>
          <w:color w:val="auto"/>
          <w:lang w:val="en-US" w:eastAsia="zh-CN"/>
        </w:rPr>
        <w:t>8</w:t>
      </w:r>
      <w:r>
        <w:rPr>
          <w:rFonts w:hint="default"/>
          <w:color w:val="auto"/>
          <w:lang w:val="en-US" w:eastAsia="zh-CN"/>
        </w:rPr>
        <w:t>个评价单元。</w:t>
      </w:r>
    </w:p>
    <w:p w14:paraId="78BDF51E">
      <w:pPr>
        <w:pStyle w:val="3"/>
        <w:bidi w:val="0"/>
        <w:rPr>
          <w:rFonts w:hint="default"/>
          <w:color w:val="auto"/>
          <w:lang w:val="en-US" w:eastAsia="zh-CN"/>
        </w:rPr>
      </w:pPr>
      <w:bookmarkStart w:id="255" w:name="_Toc5054"/>
      <w:bookmarkStart w:id="256" w:name="_Toc32643"/>
      <w:bookmarkStart w:id="257" w:name="_Toc25705"/>
      <w:r>
        <w:rPr>
          <w:rFonts w:hint="default"/>
          <w:color w:val="auto"/>
          <w:lang w:val="en-US" w:eastAsia="zh-CN"/>
        </w:rPr>
        <w:t>4.</w:t>
      </w:r>
      <w:r>
        <w:rPr>
          <w:rFonts w:hint="eastAsia"/>
          <w:color w:val="auto"/>
          <w:lang w:val="en-US" w:eastAsia="zh-CN"/>
        </w:rPr>
        <w:t>2</w:t>
      </w:r>
      <w:r>
        <w:rPr>
          <w:rFonts w:hint="default"/>
          <w:color w:val="auto"/>
          <w:lang w:val="en-US" w:eastAsia="zh-CN"/>
        </w:rPr>
        <w:t xml:space="preserve"> 评价方法选择</w:t>
      </w:r>
      <w:bookmarkEnd w:id="255"/>
      <w:bookmarkEnd w:id="256"/>
      <w:bookmarkEnd w:id="257"/>
    </w:p>
    <w:p w14:paraId="0C1907C8">
      <w:pPr>
        <w:rPr>
          <w:rFonts w:hint="default"/>
          <w:color w:val="auto"/>
          <w:lang w:val="en-US" w:eastAsia="zh-CN"/>
        </w:rPr>
      </w:pPr>
      <w:r>
        <w:rPr>
          <w:rFonts w:hint="default"/>
          <w:color w:val="auto"/>
          <w:lang w:val="en-US" w:eastAsia="zh-CN"/>
        </w:rPr>
        <w:t>安全评价方法是对系统的危险、有害因素及其危险、危害程度进行定性、定量的分析、评价。评价方法的选择是根据评价的动机、结果的需要，考虑评价对象的特征以及评价方法的特点而确定的。</w:t>
      </w:r>
    </w:p>
    <w:p w14:paraId="43A9CB61">
      <w:pPr>
        <w:rPr>
          <w:rFonts w:hint="default"/>
          <w:color w:val="auto"/>
          <w:lang w:val="en-US" w:eastAsia="zh-CN"/>
        </w:rPr>
      </w:pPr>
      <w:r>
        <w:rPr>
          <w:rFonts w:hint="default"/>
          <w:color w:val="auto"/>
          <w:lang w:val="en-US" w:eastAsia="zh-CN"/>
        </w:rPr>
        <w:t>根据对</w:t>
      </w:r>
      <w:r>
        <w:rPr>
          <w:rFonts w:hint="eastAsia"/>
          <w:color w:val="auto"/>
          <w:lang w:val="en-US" w:eastAsia="zh-CN"/>
        </w:rPr>
        <w:t>本矿山</w:t>
      </w:r>
      <w:r>
        <w:rPr>
          <w:rFonts w:hint="default"/>
          <w:color w:val="auto"/>
          <w:lang w:val="en-US" w:eastAsia="zh-CN"/>
        </w:rPr>
        <w:t>生产过程中危险、有害因素的分析，以及上述评价单元的划分，决定本次评价时采取的评价方法如表4</w:t>
      </w:r>
      <w:r>
        <w:rPr>
          <w:rFonts w:hint="eastAsia"/>
          <w:color w:val="auto"/>
          <w:lang w:val="en-US" w:eastAsia="zh-CN"/>
        </w:rPr>
        <w:t>.3</w:t>
      </w:r>
      <w:r>
        <w:rPr>
          <w:rFonts w:hint="default"/>
          <w:color w:val="auto"/>
          <w:lang w:val="en-US" w:eastAsia="zh-CN"/>
        </w:rPr>
        <w:t>-1所示。</w:t>
      </w:r>
    </w:p>
    <w:p w14:paraId="029EA1AF">
      <w:pPr>
        <w:ind w:left="0" w:leftChars="0" w:firstLine="0" w:firstLineChars="0"/>
        <w:jc w:val="center"/>
        <w:rPr>
          <w:rFonts w:hint="default"/>
          <w:color w:val="auto"/>
          <w:lang w:val="en-US" w:eastAsia="zh-CN"/>
        </w:rPr>
      </w:pPr>
      <w:r>
        <w:rPr>
          <w:rFonts w:hint="default"/>
          <w:color w:val="auto"/>
          <w:lang w:val="en-US" w:eastAsia="zh-CN"/>
        </w:rPr>
        <w:t>表4</w:t>
      </w:r>
      <w:r>
        <w:rPr>
          <w:rFonts w:hint="eastAsia"/>
          <w:color w:val="auto"/>
          <w:lang w:val="en-US" w:eastAsia="zh-CN"/>
        </w:rPr>
        <w:t>.3</w:t>
      </w:r>
      <w:r>
        <w:rPr>
          <w:rFonts w:hint="default"/>
          <w:color w:val="auto"/>
          <w:lang w:val="en-US" w:eastAsia="zh-CN"/>
        </w:rPr>
        <w:t>-1</w:t>
      </w:r>
      <w:r>
        <w:rPr>
          <w:rFonts w:hint="eastAsia"/>
          <w:color w:val="auto"/>
          <w:lang w:val="en-US" w:eastAsia="zh-CN"/>
        </w:rPr>
        <w:t xml:space="preserve"> </w:t>
      </w:r>
      <w:r>
        <w:rPr>
          <w:rFonts w:hint="default"/>
          <w:color w:val="auto"/>
          <w:lang w:val="en-US" w:eastAsia="zh-CN"/>
        </w:rPr>
        <w:t>评价方法一览表</w:t>
      </w:r>
    </w:p>
    <w:tbl>
      <w:tblPr>
        <w:tblStyle w:val="18"/>
        <w:tblW w:w="0" w:type="auto"/>
        <w:jc w:val="center"/>
        <w:tblLayout w:type="fixed"/>
        <w:tblCellMar>
          <w:top w:w="0" w:type="dxa"/>
          <w:left w:w="0" w:type="dxa"/>
          <w:bottom w:w="0" w:type="dxa"/>
          <w:right w:w="0" w:type="dxa"/>
        </w:tblCellMar>
      </w:tblPr>
      <w:tblGrid>
        <w:gridCol w:w="3624"/>
        <w:gridCol w:w="4914"/>
      </w:tblGrid>
      <w:tr w14:paraId="19848844">
        <w:tblPrEx>
          <w:tblCellMar>
            <w:top w:w="0" w:type="dxa"/>
            <w:left w:w="0" w:type="dxa"/>
            <w:bottom w:w="0" w:type="dxa"/>
            <w:right w:w="0" w:type="dxa"/>
          </w:tblCellMar>
        </w:tblPrEx>
        <w:trPr>
          <w:trHeight w:val="419" w:hRule="exact"/>
          <w:jc w:val="center"/>
        </w:trPr>
        <w:tc>
          <w:tcPr>
            <w:tcW w:w="3624" w:type="dxa"/>
            <w:tcBorders>
              <w:top w:val="single" w:color="000000" w:sz="4" w:space="0"/>
              <w:left w:val="single" w:color="000000" w:sz="4" w:space="0"/>
              <w:bottom w:val="single" w:color="000000" w:sz="4" w:space="0"/>
              <w:right w:val="single" w:color="000000" w:sz="4" w:space="0"/>
            </w:tcBorders>
            <w:noWrap w:val="0"/>
            <w:vAlign w:val="center"/>
          </w:tcPr>
          <w:p w14:paraId="7823A77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评价单元</w:t>
            </w:r>
          </w:p>
        </w:tc>
        <w:tc>
          <w:tcPr>
            <w:tcW w:w="4914" w:type="dxa"/>
            <w:tcBorders>
              <w:top w:val="single" w:color="000000" w:sz="4" w:space="0"/>
              <w:left w:val="single" w:color="000000" w:sz="4" w:space="0"/>
              <w:bottom w:val="single" w:color="000000" w:sz="4" w:space="0"/>
              <w:right w:val="single" w:color="000000" w:sz="4" w:space="0"/>
            </w:tcBorders>
            <w:noWrap w:val="0"/>
            <w:vAlign w:val="center"/>
          </w:tcPr>
          <w:p w14:paraId="4C6200D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评价方法</w:t>
            </w:r>
          </w:p>
        </w:tc>
      </w:tr>
      <w:tr w14:paraId="1015E0D5">
        <w:tblPrEx>
          <w:tblCellMar>
            <w:top w:w="0" w:type="dxa"/>
            <w:left w:w="0" w:type="dxa"/>
            <w:bottom w:w="0" w:type="dxa"/>
            <w:right w:w="0" w:type="dxa"/>
          </w:tblCellMar>
        </w:tblPrEx>
        <w:trPr>
          <w:trHeight w:val="411" w:hRule="exact"/>
          <w:jc w:val="center"/>
        </w:trPr>
        <w:tc>
          <w:tcPr>
            <w:tcW w:w="3624" w:type="dxa"/>
            <w:tcBorders>
              <w:top w:val="single" w:color="000000" w:sz="4" w:space="0"/>
              <w:left w:val="single" w:color="000000" w:sz="4" w:space="0"/>
              <w:bottom w:val="single" w:color="000000" w:sz="4" w:space="0"/>
              <w:right w:val="single" w:color="000000" w:sz="4" w:space="0"/>
            </w:tcBorders>
            <w:noWrap w:val="0"/>
            <w:vAlign w:val="center"/>
          </w:tcPr>
          <w:p w14:paraId="460D2FF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安全管理</w:t>
            </w:r>
          </w:p>
        </w:tc>
        <w:tc>
          <w:tcPr>
            <w:tcW w:w="4914" w:type="dxa"/>
            <w:tcBorders>
              <w:top w:val="single" w:color="000000" w:sz="4" w:space="0"/>
              <w:left w:val="single" w:color="000000" w:sz="4" w:space="0"/>
              <w:bottom w:val="single" w:color="000000" w:sz="4" w:space="0"/>
              <w:right w:val="single" w:color="000000" w:sz="4" w:space="0"/>
            </w:tcBorders>
            <w:noWrap w:val="0"/>
            <w:vAlign w:val="center"/>
          </w:tcPr>
          <w:p w14:paraId="0F95F3E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安全检查表法</w:t>
            </w:r>
          </w:p>
        </w:tc>
      </w:tr>
      <w:tr w14:paraId="656213D2">
        <w:tblPrEx>
          <w:tblCellMar>
            <w:top w:w="0" w:type="dxa"/>
            <w:left w:w="0" w:type="dxa"/>
            <w:bottom w:w="0" w:type="dxa"/>
            <w:right w:w="0" w:type="dxa"/>
          </w:tblCellMar>
        </w:tblPrEx>
        <w:trPr>
          <w:trHeight w:val="412" w:hRule="exact"/>
          <w:jc w:val="center"/>
        </w:trPr>
        <w:tc>
          <w:tcPr>
            <w:tcW w:w="3624" w:type="dxa"/>
            <w:tcBorders>
              <w:top w:val="single" w:color="000000" w:sz="4" w:space="0"/>
              <w:left w:val="single" w:color="000000" w:sz="4" w:space="0"/>
              <w:bottom w:val="single" w:color="000000" w:sz="4" w:space="0"/>
              <w:right w:val="single" w:color="000000" w:sz="4" w:space="0"/>
            </w:tcBorders>
            <w:noWrap w:val="0"/>
            <w:vAlign w:val="center"/>
          </w:tcPr>
          <w:p w14:paraId="1C4180F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露天采场</w:t>
            </w:r>
          </w:p>
        </w:tc>
        <w:tc>
          <w:tcPr>
            <w:tcW w:w="4914" w:type="dxa"/>
            <w:tcBorders>
              <w:top w:val="single" w:color="000000" w:sz="4" w:space="0"/>
              <w:left w:val="single" w:color="000000" w:sz="4" w:space="0"/>
              <w:bottom w:val="single" w:color="000000" w:sz="4" w:space="0"/>
              <w:right w:val="single" w:color="000000" w:sz="4" w:space="0"/>
            </w:tcBorders>
            <w:noWrap w:val="0"/>
            <w:vAlign w:val="center"/>
          </w:tcPr>
          <w:p w14:paraId="28E6B34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安全检查表法、作业条件危险性评价法</w:t>
            </w:r>
          </w:p>
        </w:tc>
      </w:tr>
      <w:tr w14:paraId="13FF02F1">
        <w:tblPrEx>
          <w:tblCellMar>
            <w:top w:w="0" w:type="dxa"/>
            <w:left w:w="0" w:type="dxa"/>
            <w:bottom w:w="0" w:type="dxa"/>
            <w:right w:w="0" w:type="dxa"/>
          </w:tblCellMar>
        </w:tblPrEx>
        <w:trPr>
          <w:trHeight w:val="402" w:hRule="exact"/>
          <w:jc w:val="center"/>
        </w:trPr>
        <w:tc>
          <w:tcPr>
            <w:tcW w:w="3624" w:type="dxa"/>
            <w:tcBorders>
              <w:top w:val="single" w:color="000000" w:sz="4" w:space="0"/>
              <w:left w:val="single" w:color="000000" w:sz="4" w:space="0"/>
              <w:bottom w:val="single" w:color="000000" w:sz="4" w:space="0"/>
              <w:right w:val="single" w:color="000000" w:sz="4" w:space="0"/>
            </w:tcBorders>
            <w:noWrap w:val="0"/>
            <w:vAlign w:val="center"/>
          </w:tcPr>
          <w:p w14:paraId="3004887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边坡管理</w:t>
            </w:r>
          </w:p>
        </w:tc>
        <w:tc>
          <w:tcPr>
            <w:tcW w:w="4914" w:type="dxa"/>
            <w:tcBorders>
              <w:top w:val="single" w:color="000000" w:sz="4" w:space="0"/>
              <w:left w:val="single" w:color="000000" w:sz="4" w:space="0"/>
              <w:bottom w:val="single" w:color="000000" w:sz="4" w:space="0"/>
              <w:right w:val="single" w:color="000000" w:sz="4" w:space="0"/>
            </w:tcBorders>
            <w:noWrap w:val="0"/>
            <w:vAlign w:val="center"/>
          </w:tcPr>
          <w:p w14:paraId="50C0E86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安全检查表法</w:t>
            </w:r>
          </w:p>
        </w:tc>
      </w:tr>
      <w:tr w14:paraId="3D58CB26">
        <w:tblPrEx>
          <w:tblCellMar>
            <w:top w:w="0" w:type="dxa"/>
            <w:left w:w="0" w:type="dxa"/>
            <w:bottom w:w="0" w:type="dxa"/>
            <w:right w:w="0" w:type="dxa"/>
          </w:tblCellMar>
        </w:tblPrEx>
        <w:trPr>
          <w:trHeight w:val="408" w:hRule="exact"/>
          <w:jc w:val="center"/>
        </w:trPr>
        <w:tc>
          <w:tcPr>
            <w:tcW w:w="3624" w:type="dxa"/>
            <w:tcBorders>
              <w:top w:val="single" w:color="000000" w:sz="4" w:space="0"/>
              <w:left w:val="single" w:color="000000" w:sz="4" w:space="0"/>
              <w:bottom w:val="single" w:color="000000" w:sz="4" w:space="0"/>
              <w:right w:val="single" w:color="000000" w:sz="4" w:space="0"/>
            </w:tcBorders>
            <w:noWrap w:val="0"/>
            <w:vAlign w:val="center"/>
          </w:tcPr>
          <w:p w14:paraId="1C99E7C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供配电设施</w:t>
            </w:r>
          </w:p>
        </w:tc>
        <w:tc>
          <w:tcPr>
            <w:tcW w:w="4914" w:type="dxa"/>
            <w:tcBorders>
              <w:top w:val="single" w:color="000000" w:sz="4" w:space="0"/>
              <w:left w:val="single" w:color="000000" w:sz="4" w:space="0"/>
              <w:bottom w:val="single" w:color="000000" w:sz="4" w:space="0"/>
              <w:right w:val="single" w:color="000000" w:sz="4" w:space="0"/>
            </w:tcBorders>
            <w:noWrap w:val="0"/>
            <w:vAlign w:val="center"/>
          </w:tcPr>
          <w:p w14:paraId="33EE7A7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安全检查表法</w:t>
            </w:r>
          </w:p>
        </w:tc>
      </w:tr>
      <w:tr w14:paraId="37D5AC27">
        <w:tblPrEx>
          <w:tblCellMar>
            <w:top w:w="0" w:type="dxa"/>
            <w:left w:w="0" w:type="dxa"/>
            <w:bottom w:w="0" w:type="dxa"/>
            <w:right w:w="0" w:type="dxa"/>
          </w:tblCellMar>
        </w:tblPrEx>
        <w:trPr>
          <w:trHeight w:val="446" w:hRule="exact"/>
          <w:jc w:val="center"/>
        </w:trPr>
        <w:tc>
          <w:tcPr>
            <w:tcW w:w="3624" w:type="dxa"/>
            <w:tcBorders>
              <w:top w:val="single" w:color="000000" w:sz="4" w:space="0"/>
              <w:left w:val="single" w:color="000000" w:sz="4" w:space="0"/>
              <w:bottom w:val="single" w:color="000000" w:sz="4" w:space="0"/>
              <w:right w:val="single" w:color="000000" w:sz="4" w:space="0"/>
            </w:tcBorders>
            <w:noWrap w:val="0"/>
            <w:vAlign w:val="center"/>
          </w:tcPr>
          <w:p w14:paraId="2F30B4F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防排水</w:t>
            </w:r>
          </w:p>
        </w:tc>
        <w:tc>
          <w:tcPr>
            <w:tcW w:w="4914" w:type="dxa"/>
            <w:tcBorders>
              <w:top w:val="single" w:color="000000" w:sz="4" w:space="0"/>
              <w:left w:val="single" w:color="000000" w:sz="4" w:space="0"/>
              <w:bottom w:val="single" w:color="000000" w:sz="4" w:space="0"/>
              <w:right w:val="single" w:color="000000" w:sz="4" w:space="0"/>
            </w:tcBorders>
            <w:noWrap w:val="0"/>
            <w:vAlign w:val="center"/>
          </w:tcPr>
          <w:p w14:paraId="0D8B8AE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安全检查表法</w:t>
            </w:r>
          </w:p>
        </w:tc>
      </w:tr>
      <w:tr w14:paraId="5EACAF34">
        <w:tblPrEx>
          <w:tblCellMar>
            <w:top w:w="0" w:type="dxa"/>
            <w:left w:w="0" w:type="dxa"/>
            <w:bottom w:w="0" w:type="dxa"/>
            <w:right w:w="0" w:type="dxa"/>
          </w:tblCellMar>
        </w:tblPrEx>
        <w:trPr>
          <w:trHeight w:val="453" w:hRule="exact"/>
          <w:jc w:val="center"/>
        </w:trPr>
        <w:tc>
          <w:tcPr>
            <w:tcW w:w="3624" w:type="dxa"/>
            <w:tcBorders>
              <w:top w:val="single" w:color="000000" w:sz="4" w:space="0"/>
              <w:left w:val="single" w:color="000000" w:sz="4" w:space="0"/>
              <w:bottom w:val="single" w:color="auto" w:sz="4" w:space="0"/>
              <w:right w:val="single" w:color="000000" w:sz="4" w:space="0"/>
            </w:tcBorders>
            <w:noWrap w:val="0"/>
            <w:vAlign w:val="center"/>
          </w:tcPr>
          <w:p w14:paraId="3959135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防灭火</w:t>
            </w:r>
          </w:p>
        </w:tc>
        <w:tc>
          <w:tcPr>
            <w:tcW w:w="4914" w:type="dxa"/>
            <w:tcBorders>
              <w:top w:val="single" w:color="000000" w:sz="4" w:space="0"/>
              <w:left w:val="single" w:color="000000" w:sz="4" w:space="0"/>
              <w:bottom w:val="single" w:color="auto" w:sz="4" w:space="0"/>
              <w:right w:val="single" w:color="000000" w:sz="4" w:space="0"/>
            </w:tcBorders>
            <w:noWrap w:val="0"/>
            <w:vAlign w:val="center"/>
          </w:tcPr>
          <w:p w14:paraId="450AE9A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安全检查表法</w:t>
            </w:r>
          </w:p>
        </w:tc>
      </w:tr>
      <w:tr w14:paraId="13A6FE24">
        <w:tblPrEx>
          <w:tblCellMar>
            <w:top w:w="0" w:type="dxa"/>
            <w:left w:w="0" w:type="dxa"/>
            <w:bottom w:w="0" w:type="dxa"/>
            <w:right w:w="0" w:type="dxa"/>
          </w:tblCellMar>
        </w:tblPrEx>
        <w:trPr>
          <w:trHeight w:val="491" w:hRule="exact"/>
          <w:jc w:val="center"/>
        </w:trPr>
        <w:tc>
          <w:tcPr>
            <w:tcW w:w="3624" w:type="dxa"/>
            <w:tcBorders>
              <w:top w:val="single" w:color="000000" w:sz="4" w:space="0"/>
              <w:left w:val="single" w:color="000000" w:sz="4" w:space="0"/>
              <w:bottom w:val="single" w:color="auto" w:sz="4" w:space="0"/>
              <w:right w:val="single" w:color="000000" w:sz="4" w:space="0"/>
            </w:tcBorders>
            <w:noWrap w:val="0"/>
            <w:vAlign w:val="center"/>
          </w:tcPr>
          <w:p w14:paraId="22B7891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重大事故隐患判定</w:t>
            </w:r>
          </w:p>
        </w:tc>
        <w:tc>
          <w:tcPr>
            <w:tcW w:w="4914" w:type="dxa"/>
            <w:tcBorders>
              <w:top w:val="single" w:color="000000" w:sz="4" w:space="0"/>
              <w:left w:val="single" w:color="000000" w:sz="4" w:space="0"/>
              <w:bottom w:val="single" w:color="auto" w:sz="4" w:space="0"/>
              <w:right w:val="single" w:color="000000" w:sz="4" w:space="0"/>
            </w:tcBorders>
            <w:noWrap w:val="0"/>
            <w:vAlign w:val="center"/>
          </w:tcPr>
          <w:p w14:paraId="16D4FD3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安全检查表法</w:t>
            </w:r>
          </w:p>
        </w:tc>
      </w:tr>
      <w:tr w14:paraId="755AEAC4">
        <w:tblPrEx>
          <w:tblCellMar>
            <w:top w:w="0" w:type="dxa"/>
            <w:left w:w="0" w:type="dxa"/>
            <w:bottom w:w="0" w:type="dxa"/>
            <w:right w:w="0" w:type="dxa"/>
          </w:tblCellMar>
        </w:tblPrEx>
        <w:trPr>
          <w:trHeight w:val="566" w:hRule="exact"/>
          <w:jc w:val="center"/>
        </w:trPr>
        <w:tc>
          <w:tcPr>
            <w:tcW w:w="3624" w:type="dxa"/>
            <w:tcBorders>
              <w:top w:val="single" w:color="auto" w:sz="4" w:space="0"/>
              <w:left w:val="single" w:color="000000" w:sz="4" w:space="0"/>
              <w:bottom w:val="single" w:color="000000" w:sz="4" w:space="0"/>
              <w:right w:val="single" w:color="000000" w:sz="4" w:space="0"/>
            </w:tcBorders>
            <w:noWrap w:val="0"/>
            <w:vAlign w:val="center"/>
          </w:tcPr>
          <w:p w14:paraId="3419198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rPr>
              <w:t>综合安全评价</w:t>
            </w:r>
          </w:p>
        </w:tc>
        <w:tc>
          <w:tcPr>
            <w:tcW w:w="4914" w:type="dxa"/>
            <w:tcBorders>
              <w:top w:val="single" w:color="auto" w:sz="4" w:space="0"/>
              <w:left w:val="single" w:color="000000" w:sz="4" w:space="0"/>
              <w:bottom w:val="single" w:color="000000" w:sz="4" w:space="0"/>
              <w:right w:val="single" w:color="000000" w:sz="4" w:space="0"/>
            </w:tcBorders>
            <w:noWrap w:val="0"/>
            <w:vAlign w:val="center"/>
          </w:tcPr>
          <w:p w14:paraId="2621CEC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rPr>
              <w:t>安全检查表法</w:t>
            </w:r>
          </w:p>
        </w:tc>
      </w:tr>
    </w:tbl>
    <w:p w14:paraId="12D5F731">
      <w:pPr>
        <w:pStyle w:val="3"/>
        <w:bidi w:val="0"/>
        <w:rPr>
          <w:rFonts w:hint="default"/>
          <w:color w:val="auto"/>
          <w:lang w:val="en-US" w:eastAsia="zh-CN"/>
        </w:rPr>
      </w:pPr>
      <w:bookmarkStart w:id="258" w:name="_Toc30620"/>
      <w:bookmarkStart w:id="259" w:name="_Toc16506"/>
      <w:bookmarkStart w:id="260" w:name="_Toc29006"/>
      <w:r>
        <w:rPr>
          <w:rFonts w:hint="default"/>
          <w:color w:val="auto"/>
          <w:lang w:val="en-US" w:eastAsia="zh-CN"/>
        </w:rPr>
        <w:t>4.</w:t>
      </w:r>
      <w:r>
        <w:rPr>
          <w:rFonts w:hint="eastAsia"/>
          <w:color w:val="auto"/>
          <w:lang w:val="en-US" w:eastAsia="zh-CN"/>
        </w:rPr>
        <w:t>3</w:t>
      </w:r>
      <w:r>
        <w:rPr>
          <w:rFonts w:hint="default"/>
          <w:color w:val="auto"/>
          <w:lang w:val="en-US" w:eastAsia="zh-CN"/>
        </w:rPr>
        <w:t xml:space="preserve"> 评价方法简介</w:t>
      </w:r>
      <w:bookmarkEnd w:id="258"/>
      <w:bookmarkEnd w:id="259"/>
      <w:bookmarkEnd w:id="260"/>
    </w:p>
    <w:p w14:paraId="6F9B4D7B">
      <w:pPr>
        <w:pStyle w:val="4"/>
        <w:bidi w:val="0"/>
        <w:rPr>
          <w:rFonts w:hint="default"/>
          <w:color w:val="auto"/>
          <w:lang w:val="en-US" w:eastAsia="zh-CN"/>
        </w:rPr>
      </w:pPr>
      <w:bookmarkStart w:id="261" w:name="_Toc2174"/>
      <w:bookmarkStart w:id="262" w:name="_Toc3917"/>
      <w:bookmarkStart w:id="263" w:name="_Toc13268"/>
      <w:r>
        <w:rPr>
          <w:rFonts w:hint="eastAsia"/>
          <w:color w:val="auto"/>
          <w:lang w:val="en-US" w:eastAsia="zh-CN"/>
        </w:rPr>
        <w:t xml:space="preserve">4.3.1 </w:t>
      </w:r>
      <w:r>
        <w:rPr>
          <w:color w:val="auto"/>
        </w:rPr>
        <w:t>安全检查表法</w:t>
      </w:r>
      <w:bookmarkEnd w:id="261"/>
      <w:bookmarkEnd w:id="262"/>
      <w:bookmarkEnd w:id="263"/>
    </w:p>
    <w:p w14:paraId="0323D31C">
      <w:pPr>
        <w:rPr>
          <w:rFonts w:hint="default"/>
          <w:color w:val="auto"/>
          <w:lang w:val="en-US" w:eastAsia="zh-CN"/>
        </w:rPr>
      </w:pPr>
      <w:r>
        <w:rPr>
          <w:rFonts w:hint="default"/>
          <w:color w:val="auto"/>
          <w:lang w:val="en-US" w:eastAsia="zh-CN"/>
        </w:rPr>
        <w:t>安全检查表分析是将一等系列分析项目列出检查表进行分析以确定系统的状态，这些项目包括设备、贮运、操作、管理等各个方面。评价人员通过确定标准的设计或操作以建立传统的安顿检查表，然后用它产生一系列基于缺陷或差异的问题。所完成的安全检查表包括对提出的问题回答</w:t>
      </w:r>
      <w:r>
        <w:rPr>
          <w:rFonts w:hint="eastAsia" w:ascii="宋体" w:hAnsi="宋体" w:eastAsia="宋体" w:cs="宋体"/>
          <w:color w:val="auto"/>
          <w:lang w:val="en-US" w:eastAsia="zh-CN"/>
        </w:rPr>
        <w:t>“</w:t>
      </w:r>
      <w:r>
        <w:rPr>
          <w:rFonts w:hint="default"/>
          <w:color w:val="auto"/>
          <w:lang w:val="en-US" w:eastAsia="zh-CN"/>
        </w:rPr>
        <w:t>是</w:t>
      </w:r>
      <w:r>
        <w:rPr>
          <w:rFonts w:hint="eastAsia" w:ascii="宋体" w:hAnsi="宋体" w:eastAsia="宋体" w:cs="宋体"/>
          <w:color w:val="auto"/>
          <w:lang w:val="en-US" w:eastAsia="zh-CN"/>
        </w:rPr>
        <w:t>”</w:t>
      </w:r>
      <w:r>
        <w:rPr>
          <w:rFonts w:hint="default"/>
          <w:color w:val="auto"/>
          <w:lang w:val="en-US" w:eastAsia="zh-CN"/>
        </w:rPr>
        <w:t>、</w:t>
      </w:r>
      <w:r>
        <w:rPr>
          <w:rFonts w:hint="eastAsia" w:ascii="宋体" w:hAnsi="宋体" w:eastAsia="宋体" w:cs="宋体"/>
          <w:color w:val="auto"/>
          <w:lang w:val="en-US" w:eastAsia="zh-CN"/>
        </w:rPr>
        <w:t>“</w:t>
      </w:r>
      <w:r>
        <w:rPr>
          <w:rFonts w:hint="default"/>
          <w:color w:val="auto"/>
          <w:lang w:val="en-US" w:eastAsia="zh-CN"/>
        </w:rPr>
        <w:t>否</w:t>
      </w:r>
      <w:r>
        <w:rPr>
          <w:rFonts w:hint="eastAsia" w:ascii="宋体" w:hAnsi="宋体" w:eastAsia="宋体" w:cs="宋体"/>
          <w:color w:val="auto"/>
          <w:lang w:val="en-US" w:eastAsia="zh-CN"/>
        </w:rPr>
        <w:t>”</w:t>
      </w:r>
      <w:r>
        <w:rPr>
          <w:rFonts w:hint="default"/>
          <w:color w:val="auto"/>
          <w:lang w:val="en-US" w:eastAsia="zh-CN"/>
        </w:rPr>
        <w:t>、</w:t>
      </w:r>
      <w:r>
        <w:rPr>
          <w:rFonts w:hint="eastAsia" w:ascii="宋体" w:hAnsi="宋体" w:eastAsia="宋体" w:cs="宋体"/>
          <w:color w:val="auto"/>
          <w:lang w:val="en-US" w:eastAsia="zh-CN"/>
        </w:rPr>
        <w:t>“</w:t>
      </w:r>
      <w:r>
        <w:rPr>
          <w:rFonts w:hint="default"/>
          <w:color w:val="auto"/>
          <w:lang w:val="en-US" w:eastAsia="zh-CN"/>
        </w:rPr>
        <w:t>不符合</w:t>
      </w:r>
      <w:r>
        <w:rPr>
          <w:rFonts w:hint="eastAsia" w:ascii="宋体" w:hAnsi="宋体" w:eastAsia="宋体" w:cs="宋体"/>
          <w:color w:val="auto"/>
          <w:lang w:val="en-US" w:eastAsia="zh-CN"/>
        </w:rPr>
        <w:t>”</w:t>
      </w:r>
      <w:r>
        <w:rPr>
          <w:rFonts w:hint="default"/>
          <w:color w:val="auto"/>
          <w:lang w:val="en-US" w:eastAsia="zh-CN"/>
        </w:rPr>
        <w:t>或</w:t>
      </w:r>
      <w:r>
        <w:rPr>
          <w:rFonts w:hint="eastAsia" w:ascii="宋体" w:hAnsi="宋体" w:eastAsia="宋体" w:cs="宋体"/>
          <w:color w:val="auto"/>
          <w:lang w:val="en-US" w:eastAsia="zh-CN"/>
        </w:rPr>
        <w:t>“</w:t>
      </w:r>
      <w:r>
        <w:rPr>
          <w:rFonts w:hint="default"/>
          <w:color w:val="auto"/>
          <w:lang w:val="en-US" w:eastAsia="zh-CN"/>
        </w:rPr>
        <w:t>需要更多的信息</w:t>
      </w:r>
      <w:r>
        <w:rPr>
          <w:rFonts w:hint="eastAsia" w:ascii="宋体" w:hAnsi="宋体" w:eastAsia="宋体" w:cs="宋体"/>
          <w:color w:val="auto"/>
          <w:lang w:val="en-US" w:eastAsia="zh-CN"/>
        </w:rPr>
        <w:t>”</w:t>
      </w:r>
      <w:r>
        <w:rPr>
          <w:rFonts w:hint="default"/>
          <w:color w:val="auto"/>
          <w:lang w:val="en-US" w:eastAsia="zh-CN"/>
        </w:rPr>
        <w:t>。</w:t>
      </w:r>
    </w:p>
    <w:p w14:paraId="3C7B3413">
      <w:pPr>
        <w:rPr>
          <w:rFonts w:hint="default"/>
          <w:color w:val="auto"/>
          <w:lang w:val="en-US" w:eastAsia="zh-CN"/>
        </w:rPr>
      </w:pPr>
      <w:r>
        <w:rPr>
          <w:rFonts w:hint="default"/>
          <w:color w:val="auto"/>
          <w:lang w:val="en-US" w:eastAsia="zh-CN"/>
        </w:rPr>
        <w:t>1</w:t>
      </w:r>
      <w:r>
        <w:rPr>
          <w:rFonts w:hint="eastAsia"/>
          <w:color w:val="auto"/>
          <w:lang w:val="en-US" w:eastAsia="zh-CN"/>
        </w:rPr>
        <w:t xml:space="preserve">. </w:t>
      </w:r>
      <w:r>
        <w:rPr>
          <w:rFonts w:hint="default"/>
          <w:color w:val="auto"/>
          <w:lang w:val="en-US" w:eastAsia="zh-CN"/>
        </w:rPr>
        <w:t>安全检查表编制的主要依据</w:t>
      </w:r>
      <w:r>
        <w:rPr>
          <w:rFonts w:hint="eastAsia"/>
          <w:color w:val="auto"/>
          <w:lang w:val="en-US" w:eastAsia="zh-CN"/>
        </w:rPr>
        <w:t>：</w:t>
      </w:r>
    </w:p>
    <w:p w14:paraId="3FCF1E78">
      <w:pPr>
        <w:rPr>
          <w:rFonts w:hint="default"/>
          <w:color w:val="auto"/>
          <w:lang w:val="en-US" w:eastAsia="zh-CN"/>
        </w:rPr>
      </w:pPr>
      <w:r>
        <w:rPr>
          <w:rFonts w:hint="eastAsia"/>
          <w:color w:val="auto"/>
          <w:lang w:val="en-US" w:eastAsia="zh-CN"/>
        </w:rPr>
        <w:t>（</w:t>
      </w:r>
      <w:r>
        <w:rPr>
          <w:rFonts w:hint="default"/>
          <w:color w:val="auto"/>
          <w:lang w:val="en-US" w:eastAsia="zh-CN"/>
        </w:rPr>
        <w:t>1</w:t>
      </w:r>
      <w:r>
        <w:rPr>
          <w:rFonts w:hint="eastAsia"/>
          <w:color w:val="auto"/>
          <w:lang w:val="en-US" w:eastAsia="zh-CN"/>
        </w:rPr>
        <w:t>）</w:t>
      </w:r>
      <w:r>
        <w:rPr>
          <w:rFonts w:hint="default"/>
          <w:color w:val="auto"/>
          <w:lang w:val="en-US" w:eastAsia="zh-CN"/>
        </w:rPr>
        <w:t>有关法律、法规、标准</w:t>
      </w:r>
      <w:r>
        <w:rPr>
          <w:rFonts w:hint="eastAsia"/>
          <w:color w:val="auto"/>
          <w:lang w:val="en-US" w:eastAsia="zh-CN"/>
        </w:rPr>
        <w:t>；</w:t>
      </w:r>
    </w:p>
    <w:p w14:paraId="28AA6C23">
      <w:pPr>
        <w:rPr>
          <w:rFonts w:hint="default"/>
          <w:color w:val="auto"/>
          <w:lang w:val="en-US" w:eastAsia="zh-CN"/>
        </w:rPr>
      </w:pPr>
      <w:r>
        <w:rPr>
          <w:rFonts w:hint="eastAsia"/>
          <w:color w:val="auto"/>
          <w:lang w:val="en-US" w:eastAsia="zh-CN"/>
        </w:rPr>
        <w:t>（</w:t>
      </w:r>
      <w:r>
        <w:rPr>
          <w:rFonts w:hint="default"/>
          <w:color w:val="auto"/>
          <w:lang w:val="en-US" w:eastAsia="zh-CN"/>
        </w:rPr>
        <w:t>2</w:t>
      </w:r>
      <w:r>
        <w:rPr>
          <w:rFonts w:hint="eastAsia"/>
          <w:color w:val="auto"/>
          <w:lang w:val="en-US" w:eastAsia="zh-CN"/>
        </w:rPr>
        <w:t>）</w:t>
      </w:r>
      <w:r>
        <w:rPr>
          <w:rFonts w:hint="default"/>
          <w:color w:val="auto"/>
          <w:lang w:val="en-US" w:eastAsia="zh-CN"/>
        </w:rPr>
        <w:t>事故案例、经验、教训。</w:t>
      </w:r>
    </w:p>
    <w:p w14:paraId="1F3804F6">
      <w:pPr>
        <w:rPr>
          <w:rFonts w:hint="default"/>
          <w:color w:val="auto"/>
          <w:lang w:val="en-US" w:eastAsia="zh-CN"/>
        </w:rPr>
      </w:pPr>
      <w:r>
        <w:rPr>
          <w:rFonts w:hint="default"/>
          <w:color w:val="auto"/>
          <w:lang w:val="en-US" w:eastAsia="zh-CN"/>
        </w:rPr>
        <w:t>2</w:t>
      </w:r>
      <w:r>
        <w:rPr>
          <w:rFonts w:hint="eastAsia"/>
          <w:color w:val="auto"/>
          <w:lang w:val="en-US" w:eastAsia="zh-CN"/>
        </w:rPr>
        <w:t xml:space="preserve">. </w:t>
      </w:r>
      <w:r>
        <w:rPr>
          <w:rFonts w:hint="default"/>
          <w:color w:val="auto"/>
          <w:lang w:val="en-US" w:eastAsia="zh-CN"/>
        </w:rPr>
        <w:t>安全检查表分析三个步骤</w:t>
      </w:r>
      <w:r>
        <w:rPr>
          <w:rFonts w:hint="eastAsia"/>
          <w:color w:val="auto"/>
          <w:lang w:val="en-US" w:eastAsia="zh-CN"/>
        </w:rPr>
        <w:t>：</w:t>
      </w:r>
    </w:p>
    <w:p w14:paraId="18F78FE8">
      <w:pPr>
        <w:rPr>
          <w:rFonts w:hint="default"/>
          <w:color w:val="auto"/>
          <w:lang w:val="en-US" w:eastAsia="zh-CN"/>
        </w:rPr>
      </w:pPr>
      <w:r>
        <w:rPr>
          <w:rFonts w:hint="eastAsia"/>
          <w:color w:val="auto"/>
          <w:lang w:val="en-US" w:eastAsia="zh-CN"/>
        </w:rPr>
        <w:t>（</w:t>
      </w:r>
      <w:r>
        <w:rPr>
          <w:rFonts w:hint="default"/>
          <w:color w:val="auto"/>
          <w:lang w:val="en-US" w:eastAsia="zh-CN"/>
        </w:rPr>
        <w:t>1</w:t>
      </w:r>
      <w:r>
        <w:rPr>
          <w:rFonts w:hint="eastAsia"/>
          <w:color w:val="auto"/>
          <w:lang w:val="en-US" w:eastAsia="zh-CN"/>
        </w:rPr>
        <w:t>）</w:t>
      </w:r>
      <w:r>
        <w:rPr>
          <w:rFonts w:hint="default"/>
          <w:color w:val="auto"/>
          <w:lang w:val="en-US" w:eastAsia="zh-CN"/>
        </w:rPr>
        <w:t>选择或确定合适的安全检查表</w:t>
      </w:r>
      <w:r>
        <w:rPr>
          <w:rFonts w:hint="eastAsia"/>
          <w:color w:val="auto"/>
          <w:lang w:val="en-US" w:eastAsia="zh-CN"/>
        </w:rPr>
        <w:t>；</w:t>
      </w:r>
    </w:p>
    <w:p w14:paraId="7E82086B">
      <w:pPr>
        <w:rPr>
          <w:rFonts w:hint="default"/>
          <w:color w:val="auto"/>
          <w:lang w:val="en-US" w:eastAsia="zh-CN"/>
        </w:rPr>
      </w:pPr>
      <w:r>
        <w:rPr>
          <w:rFonts w:hint="eastAsia"/>
          <w:color w:val="auto"/>
          <w:lang w:val="en-US" w:eastAsia="zh-CN"/>
        </w:rPr>
        <w:t>（</w:t>
      </w:r>
      <w:r>
        <w:rPr>
          <w:rFonts w:hint="default"/>
          <w:color w:val="auto"/>
          <w:lang w:val="en-US" w:eastAsia="zh-CN"/>
        </w:rPr>
        <w:t>2</w:t>
      </w:r>
      <w:r>
        <w:rPr>
          <w:rFonts w:hint="eastAsia"/>
          <w:color w:val="auto"/>
          <w:lang w:val="en-US" w:eastAsia="zh-CN"/>
        </w:rPr>
        <w:t>）</w:t>
      </w:r>
      <w:r>
        <w:rPr>
          <w:rFonts w:hint="default"/>
          <w:color w:val="auto"/>
          <w:lang w:val="en-US" w:eastAsia="zh-CN"/>
        </w:rPr>
        <w:t>完成分析</w:t>
      </w:r>
      <w:r>
        <w:rPr>
          <w:rFonts w:hint="eastAsia"/>
          <w:color w:val="auto"/>
          <w:lang w:val="en-US" w:eastAsia="zh-CN"/>
        </w:rPr>
        <w:t>；</w:t>
      </w:r>
    </w:p>
    <w:p w14:paraId="23233D8E">
      <w:pPr>
        <w:rPr>
          <w:rFonts w:hint="default"/>
          <w:color w:val="auto"/>
          <w:lang w:val="en-US" w:eastAsia="zh-CN"/>
        </w:rPr>
      </w:pPr>
      <w:r>
        <w:rPr>
          <w:rFonts w:hint="eastAsia"/>
          <w:color w:val="auto"/>
          <w:lang w:val="en-US" w:eastAsia="zh-CN"/>
        </w:rPr>
        <w:t>（</w:t>
      </w:r>
      <w:r>
        <w:rPr>
          <w:rFonts w:hint="default"/>
          <w:color w:val="auto"/>
          <w:lang w:val="en-US" w:eastAsia="zh-CN"/>
        </w:rPr>
        <w:t>3</w:t>
      </w:r>
      <w:r>
        <w:rPr>
          <w:rFonts w:hint="eastAsia"/>
          <w:color w:val="auto"/>
          <w:lang w:val="en-US" w:eastAsia="zh-CN"/>
        </w:rPr>
        <w:t>）</w:t>
      </w:r>
      <w:r>
        <w:rPr>
          <w:rFonts w:hint="default"/>
          <w:color w:val="auto"/>
          <w:lang w:val="en-US" w:eastAsia="zh-CN"/>
        </w:rPr>
        <w:t>编制分析结果文件。</w:t>
      </w:r>
    </w:p>
    <w:p w14:paraId="23D78137">
      <w:pPr>
        <w:rPr>
          <w:rFonts w:hint="default"/>
          <w:color w:val="auto"/>
          <w:lang w:val="en-US" w:eastAsia="zh-CN"/>
        </w:rPr>
      </w:pPr>
      <w:r>
        <w:rPr>
          <w:rFonts w:hint="default"/>
          <w:color w:val="auto"/>
          <w:lang w:val="en-US" w:eastAsia="zh-CN"/>
        </w:rPr>
        <w:t>3</w:t>
      </w:r>
      <w:r>
        <w:rPr>
          <w:rFonts w:hint="eastAsia"/>
          <w:color w:val="auto"/>
          <w:lang w:val="en-US" w:eastAsia="zh-CN"/>
        </w:rPr>
        <w:t xml:space="preserve">. </w:t>
      </w:r>
      <w:r>
        <w:rPr>
          <w:rFonts w:hint="default"/>
          <w:color w:val="auto"/>
          <w:lang w:val="en-US" w:eastAsia="zh-CN"/>
        </w:rPr>
        <w:t>评价程序</w:t>
      </w:r>
      <w:r>
        <w:rPr>
          <w:rFonts w:hint="eastAsia"/>
          <w:color w:val="auto"/>
          <w:lang w:val="en-US" w:eastAsia="zh-CN"/>
        </w:rPr>
        <w:t>：</w:t>
      </w:r>
    </w:p>
    <w:p w14:paraId="68F26834">
      <w:pPr>
        <w:rPr>
          <w:rFonts w:hint="default"/>
          <w:color w:val="auto"/>
          <w:lang w:val="en-US" w:eastAsia="zh-CN"/>
        </w:rPr>
      </w:pPr>
      <w:r>
        <w:rPr>
          <w:rFonts w:hint="eastAsia"/>
          <w:color w:val="auto"/>
          <w:lang w:val="en-US" w:eastAsia="zh-CN"/>
        </w:rPr>
        <w:t>（</w:t>
      </w:r>
      <w:r>
        <w:rPr>
          <w:rFonts w:hint="default"/>
          <w:color w:val="auto"/>
          <w:lang w:val="en-US" w:eastAsia="zh-CN"/>
        </w:rPr>
        <w:t>1</w:t>
      </w:r>
      <w:r>
        <w:rPr>
          <w:rFonts w:hint="eastAsia"/>
          <w:color w:val="auto"/>
          <w:lang w:val="en-US" w:eastAsia="zh-CN"/>
        </w:rPr>
        <w:t>）</w:t>
      </w:r>
      <w:r>
        <w:rPr>
          <w:rFonts w:hint="default"/>
          <w:color w:val="auto"/>
          <w:lang w:val="en-US" w:eastAsia="zh-CN"/>
        </w:rPr>
        <w:t>熟悉评价对象</w:t>
      </w:r>
      <w:r>
        <w:rPr>
          <w:rFonts w:hint="eastAsia"/>
          <w:color w:val="auto"/>
          <w:lang w:val="en-US" w:eastAsia="zh-CN"/>
        </w:rPr>
        <w:t>；</w:t>
      </w:r>
    </w:p>
    <w:p w14:paraId="045790DE">
      <w:pPr>
        <w:rPr>
          <w:rFonts w:hint="default"/>
          <w:color w:val="auto"/>
          <w:lang w:val="en-US" w:eastAsia="zh-CN"/>
        </w:rPr>
      </w:pPr>
      <w:r>
        <w:rPr>
          <w:rFonts w:hint="eastAsia"/>
          <w:color w:val="auto"/>
          <w:lang w:val="en-US" w:eastAsia="zh-CN"/>
        </w:rPr>
        <w:t>（</w:t>
      </w:r>
      <w:r>
        <w:rPr>
          <w:rFonts w:hint="default"/>
          <w:color w:val="auto"/>
          <w:lang w:val="en-US" w:eastAsia="zh-CN"/>
        </w:rPr>
        <w:t>2</w:t>
      </w:r>
      <w:r>
        <w:rPr>
          <w:rFonts w:hint="eastAsia"/>
          <w:color w:val="auto"/>
          <w:lang w:val="en-US" w:eastAsia="zh-CN"/>
        </w:rPr>
        <w:t>）</w:t>
      </w:r>
      <w:r>
        <w:rPr>
          <w:rFonts w:hint="default"/>
          <w:color w:val="auto"/>
          <w:lang w:val="en-US" w:eastAsia="zh-CN"/>
        </w:rPr>
        <w:t>搜集资料，包括法律、法规、标准、事故案例、经验教训等资料</w:t>
      </w:r>
      <w:r>
        <w:rPr>
          <w:rFonts w:hint="eastAsia"/>
          <w:color w:val="auto"/>
          <w:lang w:val="en-US" w:eastAsia="zh-CN"/>
        </w:rPr>
        <w:t>；</w:t>
      </w:r>
    </w:p>
    <w:p w14:paraId="27E3DAE5">
      <w:pPr>
        <w:rPr>
          <w:rFonts w:hint="default"/>
          <w:color w:val="auto"/>
          <w:lang w:val="en-US" w:eastAsia="zh-CN"/>
        </w:rPr>
      </w:pPr>
      <w:r>
        <w:rPr>
          <w:rFonts w:hint="eastAsia"/>
          <w:color w:val="auto"/>
          <w:lang w:val="en-US" w:eastAsia="zh-CN"/>
        </w:rPr>
        <w:t>（</w:t>
      </w:r>
      <w:r>
        <w:rPr>
          <w:rFonts w:hint="default"/>
          <w:color w:val="auto"/>
          <w:lang w:val="en-US" w:eastAsia="zh-CN"/>
        </w:rPr>
        <w:t>3</w:t>
      </w:r>
      <w:r>
        <w:rPr>
          <w:rFonts w:hint="eastAsia"/>
          <w:color w:val="auto"/>
          <w:lang w:val="en-US" w:eastAsia="zh-CN"/>
        </w:rPr>
        <w:t>）</w:t>
      </w:r>
      <w:r>
        <w:rPr>
          <w:rFonts w:hint="default"/>
          <w:color w:val="auto"/>
          <w:lang w:val="en-US" w:eastAsia="zh-CN"/>
        </w:rPr>
        <w:t>编制案例检查表</w:t>
      </w:r>
      <w:r>
        <w:rPr>
          <w:rFonts w:hint="eastAsia"/>
          <w:color w:val="auto"/>
          <w:lang w:val="en-US" w:eastAsia="zh-CN"/>
        </w:rPr>
        <w:t>；</w:t>
      </w:r>
    </w:p>
    <w:p w14:paraId="2F90634F">
      <w:pPr>
        <w:rPr>
          <w:rFonts w:hint="default"/>
          <w:color w:val="auto"/>
          <w:lang w:val="en-US" w:eastAsia="zh-CN"/>
        </w:rPr>
      </w:pPr>
      <w:r>
        <w:rPr>
          <w:rFonts w:hint="eastAsia"/>
          <w:color w:val="auto"/>
          <w:lang w:val="en-US" w:eastAsia="zh-CN"/>
        </w:rPr>
        <w:t>（</w:t>
      </w:r>
      <w:r>
        <w:rPr>
          <w:rFonts w:hint="default"/>
          <w:color w:val="auto"/>
          <w:lang w:val="en-US" w:eastAsia="zh-CN"/>
        </w:rPr>
        <w:t>4</w:t>
      </w:r>
      <w:r>
        <w:rPr>
          <w:rFonts w:hint="eastAsia"/>
          <w:color w:val="auto"/>
          <w:lang w:val="en-US" w:eastAsia="zh-CN"/>
        </w:rPr>
        <w:t>）</w:t>
      </w:r>
      <w:r>
        <w:rPr>
          <w:rFonts w:hint="default"/>
          <w:color w:val="auto"/>
          <w:lang w:val="en-US" w:eastAsia="zh-CN"/>
        </w:rPr>
        <w:t>按检查表逐项检查</w:t>
      </w:r>
      <w:r>
        <w:rPr>
          <w:rFonts w:hint="eastAsia"/>
          <w:color w:val="auto"/>
          <w:lang w:val="en-US" w:eastAsia="zh-CN"/>
        </w:rPr>
        <w:t>；</w:t>
      </w:r>
    </w:p>
    <w:p w14:paraId="0D82602F">
      <w:pPr>
        <w:rPr>
          <w:rFonts w:hint="default"/>
          <w:color w:val="auto"/>
          <w:lang w:val="en-US" w:eastAsia="zh-CN"/>
        </w:rPr>
      </w:pPr>
      <w:r>
        <w:rPr>
          <w:rFonts w:hint="eastAsia"/>
          <w:color w:val="auto"/>
          <w:lang w:val="en-US" w:eastAsia="zh-CN"/>
        </w:rPr>
        <w:t>（</w:t>
      </w:r>
      <w:r>
        <w:rPr>
          <w:rFonts w:hint="default"/>
          <w:color w:val="auto"/>
          <w:lang w:val="en-US" w:eastAsia="zh-CN"/>
        </w:rPr>
        <w:t>5</w:t>
      </w:r>
      <w:r>
        <w:rPr>
          <w:rFonts w:hint="eastAsia"/>
          <w:color w:val="auto"/>
          <w:lang w:val="en-US" w:eastAsia="zh-CN"/>
        </w:rPr>
        <w:t>）</w:t>
      </w:r>
      <w:r>
        <w:rPr>
          <w:rFonts w:hint="default"/>
          <w:color w:val="auto"/>
          <w:lang w:val="en-US" w:eastAsia="zh-CN"/>
        </w:rPr>
        <w:t>分析、评价检查结果</w:t>
      </w:r>
      <w:r>
        <w:rPr>
          <w:rFonts w:hint="eastAsia"/>
          <w:color w:val="auto"/>
          <w:lang w:val="en-US" w:eastAsia="zh-CN"/>
        </w:rPr>
        <w:t>。</w:t>
      </w:r>
    </w:p>
    <w:p w14:paraId="7108A232">
      <w:pPr>
        <w:pStyle w:val="4"/>
        <w:bidi w:val="0"/>
        <w:rPr>
          <w:rFonts w:hint="default"/>
          <w:color w:val="auto"/>
          <w:lang w:val="en-US" w:eastAsia="zh-CN"/>
        </w:rPr>
      </w:pPr>
      <w:bookmarkStart w:id="264" w:name="_Toc14334"/>
      <w:bookmarkStart w:id="265" w:name="_Toc4662"/>
      <w:bookmarkStart w:id="266" w:name="_Toc17298"/>
      <w:r>
        <w:rPr>
          <w:rFonts w:hint="default"/>
          <w:color w:val="auto"/>
          <w:lang w:val="en-US" w:eastAsia="zh-CN"/>
        </w:rPr>
        <w:t>4.</w:t>
      </w:r>
      <w:r>
        <w:rPr>
          <w:rFonts w:hint="eastAsia"/>
          <w:color w:val="auto"/>
          <w:lang w:val="en-US" w:eastAsia="zh-CN"/>
        </w:rPr>
        <w:t>3</w:t>
      </w:r>
      <w:r>
        <w:rPr>
          <w:rFonts w:hint="default"/>
          <w:color w:val="auto"/>
          <w:lang w:val="en-US" w:eastAsia="zh-CN"/>
        </w:rPr>
        <w:t>.2 作业条件危险性分析</w:t>
      </w:r>
      <w:bookmarkEnd w:id="264"/>
      <w:bookmarkEnd w:id="265"/>
      <w:bookmarkEnd w:id="266"/>
    </w:p>
    <w:p w14:paraId="72E222BB">
      <w:pPr>
        <w:bidi w:val="0"/>
        <w:rPr>
          <w:rFonts w:hint="default" w:ascii="Times New Roman" w:hAnsi="Times New Roman" w:cs="Times New Roman"/>
          <w:color w:val="auto"/>
        </w:rPr>
      </w:pPr>
      <w:r>
        <w:rPr>
          <w:rFonts w:hint="default" w:ascii="Times New Roman" w:hAnsi="Times New Roman" w:cs="Times New Roman"/>
          <w:color w:val="auto"/>
          <w:lang w:val="en-US" w:eastAsia="zh-CN"/>
        </w:rPr>
        <w:t>一、</w:t>
      </w:r>
      <w:r>
        <w:rPr>
          <w:rFonts w:hint="default" w:ascii="Times New Roman" w:hAnsi="Times New Roman" w:cs="Times New Roman"/>
          <w:color w:val="auto"/>
        </w:rPr>
        <w:t>评价方法简介</w:t>
      </w:r>
    </w:p>
    <w:p w14:paraId="0C55E627">
      <w:pPr>
        <w:bidi w:val="0"/>
        <w:rPr>
          <w:rFonts w:hint="default" w:ascii="Times New Roman" w:hAnsi="Times New Roman" w:cs="Times New Roman"/>
          <w:color w:val="auto"/>
        </w:rPr>
      </w:pPr>
      <w:r>
        <w:rPr>
          <w:rFonts w:hint="default" w:ascii="Times New Roman" w:hAnsi="Times New Roman" w:cs="Times New Roman"/>
          <w:color w:val="auto"/>
        </w:rPr>
        <w:t>作业条件危险性评价法是一种简单易行的评价操作人员在具有潜在危险性环境中作业时的危险性的半定量评价方法。</w:t>
      </w:r>
    </w:p>
    <w:p w14:paraId="0589E2E1">
      <w:pPr>
        <w:bidi w:val="0"/>
        <w:rPr>
          <w:rFonts w:hint="default" w:ascii="Times New Roman" w:hAnsi="Times New Roman" w:cs="Times New Roman"/>
          <w:color w:val="auto"/>
        </w:rPr>
      </w:pPr>
      <w:r>
        <w:rPr>
          <w:rFonts w:hint="default" w:ascii="Times New Roman" w:hAnsi="Times New Roman" w:cs="Times New Roman"/>
          <w:color w:val="auto"/>
        </w:rPr>
        <w:t>作业条件危险性评价法用与系统风险有关的三种因素指标值之积来评价操作人员伤亡风险大小，这三种因素是L：事故发生的可能性；E：人员暴露于危险环境中的频繁程度；C：一旦发生事故可能造成的后果。给三种因素的不同等级分别确定不同的分值，再以三个分值的乘积D来评价作业条件危险性的大小。即：D＝L×E×C。</w:t>
      </w:r>
    </w:p>
    <w:p w14:paraId="2C579603">
      <w:pPr>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二、评价步骤</w:t>
      </w:r>
    </w:p>
    <w:p w14:paraId="799D7A6B">
      <w:pPr>
        <w:bidi w:val="0"/>
        <w:rPr>
          <w:rFonts w:hint="default" w:ascii="Times New Roman" w:hAnsi="Times New Roman" w:cs="Times New Roman"/>
          <w:color w:val="auto"/>
        </w:rPr>
      </w:pPr>
      <w:r>
        <w:rPr>
          <w:rFonts w:hint="default" w:ascii="Times New Roman" w:hAnsi="Times New Roman" w:cs="Times New Roman"/>
          <w:color w:val="auto"/>
        </w:rPr>
        <w:t>评价步骤为：</w:t>
      </w:r>
    </w:p>
    <w:p w14:paraId="799F74C7">
      <w:pPr>
        <w:bidi w:val="0"/>
        <w:rPr>
          <w:rFonts w:hint="default" w:ascii="Times New Roman" w:hAnsi="Times New Roman" w:cs="Times New Roman"/>
          <w:color w:val="auto"/>
        </w:rPr>
      </w:pPr>
      <w:r>
        <w:rPr>
          <w:rFonts w:hint="default" w:ascii="Times New Roman" w:hAnsi="Times New Roman" w:cs="Times New Roman"/>
          <w:color w:val="auto"/>
        </w:rPr>
        <w:t>1</w:t>
      </w:r>
      <w:r>
        <w:rPr>
          <w:rFonts w:hint="eastAsia"/>
          <w:color w:val="auto"/>
          <w:lang w:val="en-US" w:eastAsia="zh-CN"/>
        </w:rPr>
        <w:t xml:space="preserve">. </w:t>
      </w:r>
      <w:r>
        <w:rPr>
          <w:rFonts w:hint="default" w:ascii="Times New Roman" w:hAnsi="Times New Roman" w:cs="Times New Roman"/>
          <w:color w:val="auto"/>
        </w:rPr>
        <w:t>以类比作业条件比较为基础，由熟悉作业条件的人员组成评价小组；</w:t>
      </w:r>
    </w:p>
    <w:p w14:paraId="3DBA38E8">
      <w:pPr>
        <w:bidi w:val="0"/>
        <w:rPr>
          <w:rFonts w:hint="default" w:ascii="Times New Roman" w:hAnsi="Times New Roman" w:cs="Times New Roman"/>
          <w:color w:val="auto"/>
        </w:rPr>
      </w:pPr>
      <w:r>
        <w:rPr>
          <w:rFonts w:hint="default" w:ascii="Times New Roman" w:hAnsi="Times New Roman" w:cs="Times New Roman"/>
          <w:color w:val="auto"/>
        </w:rPr>
        <w:t>2</w:t>
      </w:r>
      <w:r>
        <w:rPr>
          <w:rFonts w:hint="eastAsia"/>
          <w:color w:val="auto"/>
          <w:lang w:val="en-US" w:eastAsia="zh-CN"/>
        </w:rPr>
        <w:t xml:space="preserve">. </w:t>
      </w:r>
      <w:r>
        <w:rPr>
          <w:rFonts w:hint="default" w:ascii="Times New Roman" w:hAnsi="Times New Roman" w:cs="Times New Roman"/>
          <w:color w:val="auto"/>
        </w:rPr>
        <w:t>由评价小组成员按照标准给L、E、C分别打分，取各组的平均值作为L、E、C的计算分值，用计算的危险性分值D来评价作业条件的危险性等级。</w:t>
      </w:r>
    </w:p>
    <w:p w14:paraId="5F339A47">
      <w:pPr>
        <w:bidi w:val="0"/>
        <w:rPr>
          <w:rFonts w:hint="default" w:ascii="Times New Roman" w:hAnsi="Times New Roman" w:cs="Times New Roman"/>
          <w:color w:val="auto"/>
        </w:rPr>
      </w:pPr>
      <w:r>
        <w:rPr>
          <w:rFonts w:hint="default" w:ascii="Times New Roman" w:hAnsi="Times New Roman" w:cs="Times New Roman"/>
          <w:color w:val="auto"/>
          <w:lang w:val="en-US" w:eastAsia="zh-CN"/>
        </w:rPr>
        <w:t>三、</w:t>
      </w:r>
      <w:r>
        <w:rPr>
          <w:rFonts w:hint="default" w:ascii="Times New Roman" w:hAnsi="Times New Roman" w:cs="Times New Roman"/>
          <w:color w:val="auto"/>
        </w:rPr>
        <w:t>赋分标准</w:t>
      </w:r>
    </w:p>
    <w:p w14:paraId="5DD9B127">
      <w:pPr>
        <w:bidi w:val="0"/>
        <w:rPr>
          <w:rFonts w:hint="default" w:ascii="Times New Roman" w:hAnsi="Times New Roman" w:cs="Times New Roman"/>
          <w:color w:val="auto"/>
        </w:rPr>
      </w:pPr>
      <w:r>
        <w:rPr>
          <w:rFonts w:hint="default" w:ascii="Times New Roman" w:hAnsi="Times New Roman" w:cs="Times New Roman"/>
          <w:color w:val="auto"/>
        </w:rPr>
        <w:t>1</w:t>
      </w:r>
      <w:r>
        <w:rPr>
          <w:rFonts w:hint="eastAsia"/>
          <w:color w:val="auto"/>
          <w:lang w:val="en-US" w:eastAsia="zh-CN"/>
        </w:rPr>
        <w:t xml:space="preserve">. </w:t>
      </w:r>
      <w:r>
        <w:rPr>
          <w:rFonts w:hint="default" w:ascii="Times New Roman" w:hAnsi="Times New Roman" w:cs="Times New Roman"/>
          <w:color w:val="auto"/>
        </w:rPr>
        <w:t>事故发生的可能性（L）</w:t>
      </w:r>
    </w:p>
    <w:p w14:paraId="5FB5F0C2">
      <w:pPr>
        <w:bidi w:val="0"/>
        <w:rPr>
          <w:rFonts w:hint="default" w:ascii="Times New Roman" w:hAnsi="Times New Roman" w:cs="Times New Roman"/>
          <w:color w:val="auto"/>
        </w:rPr>
      </w:pPr>
      <w:r>
        <w:rPr>
          <w:rFonts w:hint="default" w:ascii="Times New Roman" w:hAnsi="Times New Roman" w:cs="Times New Roman"/>
          <w:color w:val="auto"/>
        </w:rPr>
        <w:t>事故发生的可能性用概率来表示时，绝对不可能发生的事故频率为0，而必然发生的事故概率为1。然而，从系统安全的角度考虑，绝对不发生的事故是不可能的，所以人为地将发生事故的可能性极小的分值定为0.1，而必然要发生的事故的分值定为10，以此为基础介于这两者之间的指定为若干中间值。见</w:t>
      </w:r>
      <w:r>
        <w:rPr>
          <w:rFonts w:hint="default" w:ascii="Times New Roman" w:hAnsi="Times New Roman" w:eastAsia="宋体" w:cs="Times New Roman"/>
          <w:color w:val="auto"/>
          <w:lang w:val="en-US" w:eastAsia="zh-CN"/>
        </w:rPr>
        <w:t>表</w:t>
      </w:r>
      <w:r>
        <w:rPr>
          <w:rFonts w:hint="default"/>
          <w:color w:val="auto"/>
          <w:lang w:val="en-US" w:eastAsia="zh-CN"/>
        </w:rPr>
        <w:t>4</w:t>
      </w:r>
      <w:r>
        <w:rPr>
          <w:rFonts w:hint="eastAsia"/>
          <w:color w:val="auto"/>
          <w:lang w:val="en-US" w:eastAsia="zh-CN"/>
        </w:rPr>
        <w:t>.3</w:t>
      </w:r>
      <w:r>
        <w:rPr>
          <w:rFonts w:hint="default"/>
          <w:color w:val="auto"/>
          <w:lang w:val="en-US" w:eastAsia="zh-CN"/>
        </w:rPr>
        <w:t>-</w:t>
      </w:r>
      <w:r>
        <w:rPr>
          <w:rFonts w:hint="eastAsia"/>
          <w:color w:val="auto"/>
          <w:lang w:val="en-US" w:eastAsia="zh-CN"/>
        </w:rPr>
        <w:t>2</w:t>
      </w:r>
      <w:r>
        <w:rPr>
          <w:rFonts w:hint="default" w:ascii="Times New Roman" w:hAnsi="Times New Roman" w:cs="Times New Roman"/>
          <w:color w:val="auto"/>
        </w:rPr>
        <w:t>。</w:t>
      </w:r>
    </w:p>
    <w:p w14:paraId="37F123F0">
      <w:pPr>
        <w:ind w:left="0" w:leftChars="0" w:firstLine="0" w:firstLineChars="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表</w:t>
      </w:r>
      <w:r>
        <w:rPr>
          <w:rFonts w:hint="default"/>
          <w:color w:val="auto"/>
          <w:lang w:val="en-US" w:eastAsia="zh-CN"/>
        </w:rPr>
        <w:t>4</w:t>
      </w:r>
      <w:r>
        <w:rPr>
          <w:rFonts w:hint="eastAsia"/>
          <w:color w:val="auto"/>
          <w:lang w:val="en-US" w:eastAsia="zh-CN"/>
        </w:rPr>
        <w:t>.3</w:t>
      </w:r>
      <w:r>
        <w:rPr>
          <w:rFonts w:hint="default"/>
          <w:color w:val="auto"/>
          <w:lang w:val="en-US" w:eastAsia="zh-CN"/>
        </w:rPr>
        <w:t>-</w:t>
      </w:r>
      <w:r>
        <w:rPr>
          <w:rFonts w:hint="eastAsia"/>
          <w:color w:val="auto"/>
          <w:lang w:val="en-US" w:eastAsia="zh-CN"/>
        </w:rPr>
        <w:t>2</w:t>
      </w:r>
      <w:r>
        <w:rPr>
          <w:rFonts w:hint="default" w:ascii="Times New Roman" w:hAnsi="Times New Roman" w:eastAsia="宋体" w:cs="Times New Roman"/>
          <w:color w:val="auto"/>
          <w:lang w:val="en-US" w:eastAsia="zh-CN"/>
        </w:rPr>
        <w:t xml:space="preserve"> 事故发生的可能性（L）</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4"/>
        <w:gridCol w:w="3230"/>
        <w:gridCol w:w="1076"/>
        <w:gridCol w:w="3328"/>
      </w:tblGrid>
      <w:tr w14:paraId="0527BE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exact"/>
          <w:jc w:val="center"/>
        </w:trPr>
        <w:tc>
          <w:tcPr>
            <w:tcW w:w="1174" w:type="dxa"/>
            <w:noWrap w:val="0"/>
            <w:vAlign w:val="center"/>
          </w:tcPr>
          <w:p w14:paraId="5CC87D31">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分数值</w:t>
            </w:r>
          </w:p>
        </w:tc>
        <w:tc>
          <w:tcPr>
            <w:tcW w:w="3230" w:type="dxa"/>
            <w:noWrap w:val="0"/>
            <w:vAlign w:val="center"/>
          </w:tcPr>
          <w:p w14:paraId="6482FCF3">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事故发生的可能性</w:t>
            </w:r>
          </w:p>
        </w:tc>
        <w:tc>
          <w:tcPr>
            <w:tcW w:w="1076" w:type="dxa"/>
            <w:noWrap w:val="0"/>
            <w:vAlign w:val="center"/>
          </w:tcPr>
          <w:p w14:paraId="7AEC46ED">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分数值</w:t>
            </w:r>
          </w:p>
        </w:tc>
        <w:tc>
          <w:tcPr>
            <w:tcW w:w="3328" w:type="dxa"/>
            <w:noWrap w:val="0"/>
            <w:vAlign w:val="center"/>
          </w:tcPr>
          <w:p w14:paraId="1EAEB4AB">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事故发生的可能性</w:t>
            </w:r>
          </w:p>
        </w:tc>
      </w:tr>
      <w:tr w14:paraId="631BC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exact"/>
          <w:jc w:val="center"/>
        </w:trPr>
        <w:tc>
          <w:tcPr>
            <w:tcW w:w="1174" w:type="dxa"/>
            <w:noWrap w:val="0"/>
            <w:vAlign w:val="center"/>
          </w:tcPr>
          <w:p w14:paraId="74685C0D">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10</w:t>
            </w:r>
          </w:p>
        </w:tc>
        <w:tc>
          <w:tcPr>
            <w:tcW w:w="3230" w:type="dxa"/>
            <w:noWrap w:val="0"/>
            <w:vAlign w:val="center"/>
          </w:tcPr>
          <w:p w14:paraId="21365501">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完全可以预料到</w:t>
            </w:r>
          </w:p>
        </w:tc>
        <w:tc>
          <w:tcPr>
            <w:tcW w:w="1076" w:type="dxa"/>
            <w:noWrap w:val="0"/>
            <w:vAlign w:val="center"/>
          </w:tcPr>
          <w:p w14:paraId="7F0D63D6">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0.5</w:t>
            </w:r>
          </w:p>
        </w:tc>
        <w:tc>
          <w:tcPr>
            <w:tcW w:w="3328" w:type="dxa"/>
            <w:noWrap w:val="0"/>
            <w:vAlign w:val="center"/>
          </w:tcPr>
          <w:p w14:paraId="75E27A0A">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极不可能，可以设想</w:t>
            </w:r>
          </w:p>
        </w:tc>
      </w:tr>
      <w:tr w14:paraId="4C551E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exact"/>
          <w:jc w:val="center"/>
        </w:trPr>
        <w:tc>
          <w:tcPr>
            <w:tcW w:w="1174" w:type="dxa"/>
            <w:noWrap w:val="0"/>
            <w:vAlign w:val="center"/>
          </w:tcPr>
          <w:p w14:paraId="1A281A2A">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5</w:t>
            </w:r>
          </w:p>
        </w:tc>
        <w:tc>
          <w:tcPr>
            <w:tcW w:w="3230" w:type="dxa"/>
            <w:noWrap w:val="0"/>
            <w:vAlign w:val="center"/>
          </w:tcPr>
          <w:p w14:paraId="2C16E05B">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相当可能</w:t>
            </w:r>
          </w:p>
        </w:tc>
        <w:tc>
          <w:tcPr>
            <w:tcW w:w="1076" w:type="dxa"/>
            <w:noWrap w:val="0"/>
            <w:vAlign w:val="center"/>
          </w:tcPr>
          <w:p w14:paraId="0E247F87">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0.2</w:t>
            </w:r>
          </w:p>
        </w:tc>
        <w:tc>
          <w:tcPr>
            <w:tcW w:w="3328" w:type="dxa"/>
            <w:noWrap w:val="0"/>
            <w:vAlign w:val="center"/>
          </w:tcPr>
          <w:p w14:paraId="6A5A5171">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极不可能</w:t>
            </w:r>
          </w:p>
        </w:tc>
      </w:tr>
      <w:tr w14:paraId="19DE3B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exact"/>
          <w:jc w:val="center"/>
        </w:trPr>
        <w:tc>
          <w:tcPr>
            <w:tcW w:w="1174" w:type="dxa"/>
            <w:noWrap w:val="0"/>
            <w:vAlign w:val="center"/>
          </w:tcPr>
          <w:p w14:paraId="7713521A">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w:t>
            </w:r>
          </w:p>
        </w:tc>
        <w:tc>
          <w:tcPr>
            <w:tcW w:w="3230" w:type="dxa"/>
            <w:noWrap w:val="0"/>
            <w:vAlign w:val="center"/>
          </w:tcPr>
          <w:p w14:paraId="3FEA91A2">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可能，但不经常</w:t>
            </w:r>
          </w:p>
        </w:tc>
        <w:tc>
          <w:tcPr>
            <w:tcW w:w="1076" w:type="dxa"/>
            <w:noWrap w:val="0"/>
            <w:vAlign w:val="center"/>
          </w:tcPr>
          <w:p w14:paraId="03DAA79F">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0.1</w:t>
            </w:r>
          </w:p>
        </w:tc>
        <w:tc>
          <w:tcPr>
            <w:tcW w:w="3328" w:type="dxa"/>
            <w:noWrap w:val="0"/>
            <w:vAlign w:val="center"/>
          </w:tcPr>
          <w:p w14:paraId="7F482A73">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实际不可能</w:t>
            </w:r>
          </w:p>
        </w:tc>
      </w:tr>
      <w:tr w14:paraId="4B4E8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exact"/>
          <w:jc w:val="center"/>
        </w:trPr>
        <w:tc>
          <w:tcPr>
            <w:tcW w:w="1174" w:type="dxa"/>
            <w:noWrap w:val="0"/>
            <w:vAlign w:val="center"/>
          </w:tcPr>
          <w:p w14:paraId="053D8FA5">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c>
          <w:tcPr>
            <w:tcW w:w="3230" w:type="dxa"/>
            <w:noWrap w:val="0"/>
            <w:vAlign w:val="center"/>
          </w:tcPr>
          <w:p w14:paraId="5775A202">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可能性小，完全意外</w:t>
            </w:r>
          </w:p>
        </w:tc>
        <w:tc>
          <w:tcPr>
            <w:tcW w:w="1076" w:type="dxa"/>
            <w:noWrap w:val="0"/>
            <w:vAlign w:val="center"/>
          </w:tcPr>
          <w:p w14:paraId="1E3273E2">
            <w:pPr>
              <w:spacing w:line="240" w:lineRule="auto"/>
              <w:ind w:firstLine="0" w:firstLineChars="0"/>
              <w:jc w:val="center"/>
              <w:rPr>
                <w:rFonts w:hint="default" w:ascii="Times New Roman" w:hAnsi="Times New Roman" w:cs="Times New Roman"/>
                <w:color w:val="auto"/>
                <w:sz w:val="21"/>
                <w:szCs w:val="21"/>
              </w:rPr>
            </w:pPr>
          </w:p>
        </w:tc>
        <w:tc>
          <w:tcPr>
            <w:tcW w:w="3328" w:type="dxa"/>
            <w:noWrap w:val="0"/>
            <w:vAlign w:val="center"/>
          </w:tcPr>
          <w:p w14:paraId="1449DD8B">
            <w:pPr>
              <w:spacing w:line="240" w:lineRule="auto"/>
              <w:ind w:firstLine="0" w:firstLineChars="0"/>
              <w:jc w:val="center"/>
              <w:rPr>
                <w:rFonts w:hint="default" w:ascii="Times New Roman" w:hAnsi="Times New Roman" w:cs="Times New Roman"/>
                <w:color w:val="auto"/>
                <w:sz w:val="21"/>
                <w:szCs w:val="21"/>
              </w:rPr>
            </w:pPr>
          </w:p>
        </w:tc>
      </w:tr>
    </w:tbl>
    <w:p w14:paraId="6CAE81A6">
      <w:pPr>
        <w:bidi w:val="0"/>
        <w:rPr>
          <w:rFonts w:hint="default" w:ascii="Times New Roman" w:hAnsi="Times New Roman" w:cs="Times New Roman"/>
          <w:color w:val="auto"/>
        </w:rPr>
      </w:pPr>
      <w:r>
        <w:rPr>
          <w:rFonts w:hint="default" w:ascii="Times New Roman" w:hAnsi="Times New Roman" w:cs="Times New Roman"/>
          <w:color w:val="auto"/>
        </w:rPr>
        <w:t>2</w:t>
      </w:r>
      <w:r>
        <w:rPr>
          <w:rFonts w:hint="eastAsia"/>
          <w:color w:val="auto"/>
          <w:lang w:val="en-US" w:eastAsia="zh-CN"/>
        </w:rPr>
        <w:t xml:space="preserve">. </w:t>
      </w:r>
      <w:r>
        <w:rPr>
          <w:rFonts w:hint="default" w:ascii="Times New Roman" w:hAnsi="Times New Roman" w:cs="Times New Roman"/>
          <w:color w:val="auto"/>
        </w:rPr>
        <w:t>人员暴露于危险环境的频繁程度（E）</w:t>
      </w:r>
    </w:p>
    <w:p w14:paraId="791DA438">
      <w:pPr>
        <w:bidi w:val="0"/>
        <w:rPr>
          <w:rFonts w:hint="default" w:ascii="Times New Roman" w:hAnsi="Times New Roman" w:cs="Times New Roman"/>
          <w:color w:val="auto"/>
        </w:rPr>
      </w:pPr>
      <w:r>
        <w:rPr>
          <w:rFonts w:hint="default" w:ascii="Times New Roman" w:hAnsi="Times New Roman" w:cs="Times New Roman"/>
          <w:color w:val="auto"/>
        </w:rPr>
        <w:t>人员暴露于危险环境中的时间越多，受到伤害的可能性越大，相应的危险性也越大。规定人员连续出现在危险环境的情况分值为10，而非常罕见地出现在危险环境中的情况分值为0.5，介于两者之间的各种情况规定若干个中间值。见表</w:t>
      </w:r>
      <w:r>
        <w:rPr>
          <w:rFonts w:hint="default"/>
          <w:color w:val="auto"/>
          <w:lang w:val="en-US" w:eastAsia="zh-CN"/>
        </w:rPr>
        <w:t>4</w:t>
      </w:r>
      <w:r>
        <w:rPr>
          <w:rFonts w:hint="eastAsia"/>
          <w:color w:val="auto"/>
          <w:lang w:val="en-US" w:eastAsia="zh-CN"/>
        </w:rPr>
        <w:t>.3</w:t>
      </w:r>
      <w:r>
        <w:rPr>
          <w:rFonts w:hint="default"/>
          <w:color w:val="auto"/>
          <w:lang w:val="en-US" w:eastAsia="zh-CN"/>
        </w:rPr>
        <w:t>-</w:t>
      </w:r>
      <w:r>
        <w:rPr>
          <w:rFonts w:hint="eastAsia"/>
          <w:color w:val="auto"/>
          <w:lang w:val="en-US" w:eastAsia="zh-CN"/>
        </w:rPr>
        <w:t>3</w:t>
      </w:r>
      <w:r>
        <w:rPr>
          <w:rFonts w:hint="default" w:ascii="Times New Roman" w:hAnsi="Times New Roman" w:cs="Times New Roman"/>
          <w:color w:val="auto"/>
        </w:rPr>
        <w:t>。</w:t>
      </w:r>
    </w:p>
    <w:p w14:paraId="015EF2A4">
      <w:pPr>
        <w:pStyle w:val="23"/>
        <w:jc w:val="center"/>
        <w:rPr>
          <w:rFonts w:hint="default" w:ascii="Times New Roman" w:hAnsi="Times New Roman" w:eastAsia="宋体" w:cs="Times New Roman"/>
          <w:color w:val="auto"/>
          <w:kern w:val="2"/>
          <w:sz w:val="28"/>
          <w:szCs w:val="24"/>
          <w:lang w:val="en-US" w:eastAsia="zh-CN" w:bidi="ar-SA"/>
        </w:rPr>
      </w:pPr>
      <w:r>
        <w:rPr>
          <w:rFonts w:hint="default" w:ascii="Times New Roman" w:hAnsi="Times New Roman" w:eastAsia="宋体" w:cs="Times New Roman"/>
          <w:color w:val="auto"/>
          <w:kern w:val="2"/>
          <w:sz w:val="28"/>
          <w:szCs w:val="24"/>
          <w:lang w:val="en-US" w:eastAsia="zh-CN" w:bidi="ar-SA"/>
        </w:rPr>
        <w:t>表4.3-3 人员暴露于危险环境的频繁程度（E）</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4"/>
        <w:gridCol w:w="2895"/>
        <w:gridCol w:w="1154"/>
        <w:gridCol w:w="3355"/>
      </w:tblGrid>
      <w:tr w14:paraId="34703C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2" w:hRule="atLeast"/>
          <w:jc w:val="center"/>
        </w:trPr>
        <w:tc>
          <w:tcPr>
            <w:tcW w:w="1304" w:type="dxa"/>
            <w:noWrap w:val="0"/>
            <w:vAlign w:val="center"/>
          </w:tcPr>
          <w:p w14:paraId="5807EE5D">
            <w:pPr>
              <w:spacing w:line="280" w:lineRule="exac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分数值</w:t>
            </w:r>
          </w:p>
        </w:tc>
        <w:tc>
          <w:tcPr>
            <w:tcW w:w="2895" w:type="dxa"/>
            <w:noWrap w:val="0"/>
            <w:vAlign w:val="center"/>
          </w:tcPr>
          <w:p w14:paraId="43DBE7EE">
            <w:pPr>
              <w:spacing w:line="280" w:lineRule="exac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人员暴露于危险</w:t>
            </w:r>
          </w:p>
          <w:p w14:paraId="3CAE1C28">
            <w:pPr>
              <w:spacing w:line="280" w:lineRule="exac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环境的频繁程度</w:t>
            </w:r>
          </w:p>
        </w:tc>
        <w:tc>
          <w:tcPr>
            <w:tcW w:w="1154" w:type="dxa"/>
            <w:noWrap w:val="0"/>
            <w:vAlign w:val="center"/>
          </w:tcPr>
          <w:p w14:paraId="52B2EB39">
            <w:pPr>
              <w:spacing w:line="280" w:lineRule="exac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分数值</w:t>
            </w:r>
          </w:p>
        </w:tc>
        <w:tc>
          <w:tcPr>
            <w:tcW w:w="3355" w:type="dxa"/>
            <w:noWrap w:val="0"/>
            <w:vAlign w:val="center"/>
          </w:tcPr>
          <w:p w14:paraId="6C544279">
            <w:pPr>
              <w:spacing w:line="280" w:lineRule="exac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人员暴露于危险</w:t>
            </w:r>
          </w:p>
          <w:p w14:paraId="34B2A914">
            <w:pPr>
              <w:spacing w:line="280" w:lineRule="exac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环境的频繁程度</w:t>
            </w:r>
          </w:p>
        </w:tc>
      </w:tr>
      <w:tr w14:paraId="5A525B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1" w:hRule="atLeast"/>
          <w:jc w:val="center"/>
        </w:trPr>
        <w:tc>
          <w:tcPr>
            <w:tcW w:w="1304" w:type="dxa"/>
            <w:noWrap w:val="0"/>
            <w:vAlign w:val="center"/>
          </w:tcPr>
          <w:p w14:paraId="5A6D05C2">
            <w:pPr>
              <w:spacing w:line="400" w:lineRule="exac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10</w:t>
            </w:r>
          </w:p>
        </w:tc>
        <w:tc>
          <w:tcPr>
            <w:tcW w:w="2895" w:type="dxa"/>
            <w:noWrap w:val="0"/>
            <w:vAlign w:val="center"/>
          </w:tcPr>
          <w:p w14:paraId="1C104CF4">
            <w:pPr>
              <w:spacing w:line="400" w:lineRule="exac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连续暴露</w:t>
            </w:r>
          </w:p>
        </w:tc>
        <w:tc>
          <w:tcPr>
            <w:tcW w:w="1154" w:type="dxa"/>
            <w:noWrap w:val="0"/>
            <w:vAlign w:val="center"/>
          </w:tcPr>
          <w:p w14:paraId="28E4F2C7">
            <w:pPr>
              <w:spacing w:line="400" w:lineRule="exac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w:t>
            </w:r>
          </w:p>
        </w:tc>
        <w:tc>
          <w:tcPr>
            <w:tcW w:w="3355" w:type="dxa"/>
            <w:noWrap w:val="0"/>
            <w:vAlign w:val="center"/>
          </w:tcPr>
          <w:p w14:paraId="4CDFEE01">
            <w:pPr>
              <w:spacing w:line="400" w:lineRule="exac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每月一次暴露</w:t>
            </w:r>
          </w:p>
        </w:tc>
      </w:tr>
      <w:tr w14:paraId="141D52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1304" w:type="dxa"/>
            <w:noWrap w:val="0"/>
            <w:vAlign w:val="center"/>
          </w:tcPr>
          <w:p w14:paraId="632F24C0">
            <w:pPr>
              <w:spacing w:line="400" w:lineRule="exac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6</w:t>
            </w:r>
          </w:p>
        </w:tc>
        <w:tc>
          <w:tcPr>
            <w:tcW w:w="2895" w:type="dxa"/>
            <w:noWrap w:val="0"/>
            <w:vAlign w:val="center"/>
          </w:tcPr>
          <w:p w14:paraId="20D83D23">
            <w:pPr>
              <w:spacing w:line="400" w:lineRule="exac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每天工作时间暴露</w:t>
            </w:r>
          </w:p>
        </w:tc>
        <w:tc>
          <w:tcPr>
            <w:tcW w:w="1154" w:type="dxa"/>
            <w:noWrap w:val="0"/>
            <w:vAlign w:val="center"/>
          </w:tcPr>
          <w:p w14:paraId="15839DDC">
            <w:pPr>
              <w:spacing w:line="400" w:lineRule="exac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c>
          <w:tcPr>
            <w:tcW w:w="3355" w:type="dxa"/>
            <w:noWrap w:val="0"/>
            <w:vAlign w:val="center"/>
          </w:tcPr>
          <w:p w14:paraId="171A2E25">
            <w:pPr>
              <w:spacing w:line="400" w:lineRule="exac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每年几次暴露</w:t>
            </w:r>
          </w:p>
        </w:tc>
      </w:tr>
      <w:tr w14:paraId="02D01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304" w:type="dxa"/>
            <w:noWrap w:val="0"/>
            <w:vAlign w:val="center"/>
          </w:tcPr>
          <w:p w14:paraId="5242E6B2">
            <w:pPr>
              <w:spacing w:line="400" w:lineRule="exac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w:t>
            </w:r>
          </w:p>
        </w:tc>
        <w:tc>
          <w:tcPr>
            <w:tcW w:w="2895" w:type="dxa"/>
            <w:noWrap w:val="0"/>
            <w:vAlign w:val="center"/>
          </w:tcPr>
          <w:p w14:paraId="5E2FFF32">
            <w:pPr>
              <w:spacing w:line="400" w:lineRule="exac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每周一次，或偶然暴露</w:t>
            </w:r>
          </w:p>
        </w:tc>
        <w:tc>
          <w:tcPr>
            <w:tcW w:w="1154" w:type="dxa"/>
            <w:noWrap w:val="0"/>
            <w:vAlign w:val="center"/>
          </w:tcPr>
          <w:p w14:paraId="6FEF13C8">
            <w:pPr>
              <w:spacing w:line="400" w:lineRule="exac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0.5</w:t>
            </w:r>
          </w:p>
        </w:tc>
        <w:tc>
          <w:tcPr>
            <w:tcW w:w="3355" w:type="dxa"/>
            <w:noWrap w:val="0"/>
            <w:vAlign w:val="center"/>
          </w:tcPr>
          <w:p w14:paraId="54DBE899">
            <w:pPr>
              <w:spacing w:line="400" w:lineRule="exac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非常罕见的暴露</w:t>
            </w:r>
          </w:p>
        </w:tc>
      </w:tr>
    </w:tbl>
    <w:p w14:paraId="41D825CF">
      <w:pPr>
        <w:bidi w:val="0"/>
        <w:rPr>
          <w:rFonts w:hint="default" w:ascii="Times New Roman" w:hAnsi="Times New Roman" w:cs="Times New Roman"/>
          <w:color w:val="auto"/>
        </w:rPr>
      </w:pPr>
      <w:r>
        <w:rPr>
          <w:rFonts w:hint="default" w:ascii="Times New Roman" w:hAnsi="Times New Roman" w:cs="Times New Roman"/>
          <w:color w:val="auto"/>
        </w:rPr>
        <w:t>3</w:t>
      </w:r>
      <w:r>
        <w:rPr>
          <w:rFonts w:hint="eastAsia"/>
          <w:color w:val="auto"/>
          <w:lang w:val="en-US" w:eastAsia="zh-CN"/>
        </w:rPr>
        <w:t xml:space="preserve">. </w:t>
      </w:r>
      <w:r>
        <w:rPr>
          <w:rFonts w:hint="default" w:ascii="Times New Roman" w:hAnsi="Times New Roman" w:cs="Times New Roman"/>
          <w:color w:val="auto"/>
        </w:rPr>
        <w:t>发生事故可能造成的后果（C）</w:t>
      </w:r>
    </w:p>
    <w:p w14:paraId="160683E6">
      <w:pPr>
        <w:bidi w:val="0"/>
        <w:rPr>
          <w:rFonts w:hint="default" w:ascii="Times New Roman" w:hAnsi="Times New Roman" w:cs="Times New Roman"/>
          <w:color w:val="auto"/>
        </w:rPr>
      </w:pPr>
      <w:r>
        <w:rPr>
          <w:rFonts w:hint="default" w:ascii="Times New Roman" w:hAnsi="Times New Roman" w:cs="Times New Roman"/>
          <w:color w:val="auto"/>
        </w:rPr>
        <w:t>事故造成的人员伤亡和财产损失的范围变化很大，所以规定分数值为1-100。把需要治疗的轻微伤害或较小财产损失的分数值规定为1，造成多人死亡或重大财产损失的分数值规定为100，介于两者之间的情况规定若干个中间值。见</w:t>
      </w:r>
      <w:r>
        <w:rPr>
          <w:rFonts w:hint="default" w:ascii="Times New Roman" w:hAnsi="Times New Roman" w:eastAsia="宋体" w:cs="Times New Roman"/>
          <w:color w:val="auto"/>
          <w:kern w:val="2"/>
          <w:sz w:val="28"/>
          <w:szCs w:val="24"/>
          <w:lang w:val="en-US" w:eastAsia="zh-CN" w:bidi="ar-SA"/>
        </w:rPr>
        <w:t>表4.3-</w:t>
      </w:r>
      <w:r>
        <w:rPr>
          <w:rFonts w:hint="eastAsia" w:ascii="Times New Roman" w:hAnsi="Times New Roman" w:eastAsia="宋体" w:cs="Times New Roman"/>
          <w:color w:val="auto"/>
          <w:kern w:val="2"/>
          <w:sz w:val="28"/>
          <w:szCs w:val="24"/>
          <w:lang w:val="en-US" w:eastAsia="zh-CN" w:bidi="ar-SA"/>
        </w:rPr>
        <w:t>4</w:t>
      </w:r>
      <w:r>
        <w:rPr>
          <w:rFonts w:hint="default" w:ascii="Times New Roman" w:hAnsi="Times New Roman" w:cs="Times New Roman"/>
          <w:color w:val="auto"/>
        </w:rPr>
        <w:t>。</w:t>
      </w:r>
    </w:p>
    <w:p w14:paraId="154C0007">
      <w:pPr>
        <w:pStyle w:val="23"/>
        <w:jc w:val="center"/>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表4.3-</w:t>
      </w:r>
      <w:r>
        <w:rPr>
          <w:rFonts w:hint="eastAsia" w:ascii="Times New Roman" w:hAnsi="Times New Roman" w:eastAsia="宋体" w:cs="Times New Roman"/>
          <w:color w:val="auto"/>
          <w:kern w:val="2"/>
          <w:sz w:val="28"/>
          <w:szCs w:val="28"/>
          <w:lang w:val="en-US" w:eastAsia="zh-CN" w:bidi="ar-SA"/>
        </w:rPr>
        <w:t>4</w:t>
      </w:r>
      <w:r>
        <w:rPr>
          <w:rFonts w:hint="default" w:ascii="Times New Roman" w:hAnsi="Times New Roman" w:eastAsia="宋体" w:cs="Times New Roman"/>
          <w:color w:val="auto"/>
          <w:kern w:val="2"/>
          <w:sz w:val="28"/>
          <w:szCs w:val="28"/>
          <w:lang w:val="en-US" w:eastAsia="zh-CN" w:bidi="ar-SA"/>
        </w:rPr>
        <w:t xml:space="preserve"> 发生事故可能造成的后果（C）</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9"/>
        <w:gridCol w:w="3708"/>
        <w:gridCol w:w="1060"/>
        <w:gridCol w:w="3178"/>
      </w:tblGrid>
      <w:tr w14:paraId="0662B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059" w:type="dxa"/>
            <w:noWrap w:val="0"/>
            <w:vAlign w:val="center"/>
          </w:tcPr>
          <w:p w14:paraId="0B8403DA">
            <w:pPr>
              <w:spacing w:line="400" w:lineRule="exac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分数值</w:t>
            </w:r>
          </w:p>
        </w:tc>
        <w:tc>
          <w:tcPr>
            <w:tcW w:w="3708" w:type="dxa"/>
            <w:noWrap w:val="0"/>
            <w:vAlign w:val="center"/>
          </w:tcPr>
          <w:p w14:paraId="1518A571">
            <w:pPr>
              <w:spacing w:line="400" w:lineRule="exac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发生事故可能造成的后果</w:t>
            </w:r>
          </w:p>
        </w:tc>
        <w:tc>
          <w:tcPr>
            <w:tcW w:w="1060" w:type="dxa"/>
            <w:noWrap w:val="0"/>
            <w:vAlign w:val="center"/>
          </w:tcPr>
          <w:p w14:paraId="63DF614B">
            <w:pPr>
              <w:spacing w:line="400" w:lineRule="exac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分数值</w:t>
            </w:r>
          </w:p>
        </w:tc>
        <w:tc>
          <w:tcPr>
            <w:tcW w:w="3178" w:type="dxa"/>
            <w:noWrap w:val="0"/>
            <w:vAlign w:val="center"/>
          </w:tcPr>
          <w:p w14:paraId="611FE906">
            <w:pPr>
              <w:spacing w:line="400" w:lineRule="exac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发生事故可能造成的后果</w:t>
            </w:r>
          </w:p>
        </w:tc>
      </w:tr>
      <w:tr w14:paraId="468403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1059" w:type="dxa"/>
            <w:noWrap w:val="0"/>
            <w:vAlign w:val="center"/>
          </w:tcPr>
          <w:p w14:paraId="01FDC9DD">
            <w:pPr>
              <w:spacing w:line="400" w:lineRule="exac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100</w:t>
            </w:r>
          </w:p>
        </w:tc>
        <w:tc>
          <w:tcPr>
            <w:tcW w:w="3708" w:type="dxa"/>
            <w:noWrap w:val="0"/>
            <w:vAlign w:val="center"/>
          </w:tcPr>
          <w:p w14:paraId="1FEB44DF">
            <w:pPr>
              <w:spacing w:line="400" w:lineRule="exac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大灾难，多人死亡或重大财产损失</w:t>
            </w:r>
          </w:p>
        </w:tc>
        <w:tc>
          <w:tcPr>
            <w:tcW w:w="1060" w:type="dxa"/>
            <w:noWrap w:val="0"/>
            <w:vAlign w:val="center"/>
          </w:tcPr>
          <w:p w14:paraId="2CC0D218">
            <w:pPr>
              <w:spacing w:line="400" w:lineRule="exac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7</w:t>
            </w:r>
          </w:p>
        </w:tc>
        <w:tc>
          <w:tcPr>
            <w:tcW w:w="3178" w:type="dxa"/>
            <w:noWrap w:val="0"/>
            <w:vAlign w:val="center"/>
          </w:tcPr>
          <w:p w14:paraId="09E60F28">
            <w:pPr>
              <w:spacing w:line="400" w:lineRule="exac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严重，重伤或较小的财产损失</w:t>
            </w:r>
          </w:p>
        </w:tc>
      </w:tr>
      <w:tr w14:paraId="2B682A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jc w:val="center"/>
        </w:trPr>
        <w:tc>
          <w:tcPr>
            <w:tcW w:w="1059" w:type="dxa"/>
            <w:noWrap w:val="0"/>
            <w:vAlign w:val="center"/>
          </w:tcPr>
          <w:p w14:paraId="7760346D">
            <w:pPr>
              <w:spacing w:line="400" w:lineRule="exac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40</w:t>
            </w:r>
          </w:p>
        </w:tc>
        <w:tc>
          <w:tcPr>
            <w:tcW w:w="3708" w:type="dxa"/>
            <w:noWrap w:val="0"/>
            <w:vAlign w:val="center"/>
          </w:tcPr>
          <w:p w14:paraId="2C3FA97E">
            <w:pPr>
              <w:spacing w:line="400" w:lineRule="exac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灾难，数人死亡或很大财产损失</w:t>
            </w:r>
          </w:p>
        </w:tc>
        <w:tc>
          <w:tcPr>
            <w:tcW w:w="1060" w:type="dxa"/>
            <w:noWrap w:val="0"/>
            <w:vAlign w:val="center"/>
          </w:tcPr>
          <w:p w14:paraId="1B509D9D">
            <w:pPr>
              <w:spacing w:line="400" w:lineRule="exac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w:t>
            </w:r>
          </w:p>
        </w:tc>
        <w:tc>
          <w:tcPr>
            <w:tcW w:w="3178" w:type="dxa"/>
            <w:noWrap w:val="0"/>
            <w:vAlign w:val="center"/>
          </w:tcPr>
          <w:p w14:paraId="28761A39">
            <w:pPr>
              <w:spacing w:line="400" w:lineRule="exac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重大，致残或很小的财产损失</w:t>
            </w:r>
          </w:p>
        </w:tc>
      </w:tr>
      <w:tr w14:paraId="11AE2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059" w:type="dxa"/>
            <w:noWrap w:val="0"/>
            <w:vAlign w:val="center"/>
          </w:tcPr>
          <w:p w14:paraId="46BAB53E">
            <w:pPr>
              <w:spacing w:line="280" w:lineRule="exac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15</w:t>
            </w:r>
          </w:p>
        </w:tc>
        <w:tc>
          <w:tcPr>
            <w:tcW w:w="3708" w:type="dxa"/>
            <w:noWrap w:val="0"/>
            <w:vAlign w:val="center"/>
          </w:tcPr>
          <w:p w14:paraId="74E58BC6">
            <w:pPr>
              <w:spacing w:line="280" w:lineRule="exac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非常严重，一人死亡</w:t>
            </w:r>
          </w:p>
          <w:p w14:paraId="27B5136C">
            <w:pPr>
              <w:spacing w:line="280" w:lineRule="exac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或一定的财产损失</w:t>
            </w:r>
          </w:p>
        </w:tc>
        <w:tc>
          <w:tcPr>
            <w:tcW w:w="1060" w:type="dxa"/>
            <w:noWrap w:val="0"/>
            <w:vAlign w:val="center"/>
          </w:tcPr>
          <w:p w14:paraId="5FA7A78B">
            <w:pPr>
              <w:spacing w:line="280" w:lineRule="exac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c>
          <w:tcPr>
            <w:tcW w:w="3178" w:type="dxa"/>
            <w:noWrap w:val="0"/>
            <w:vAlign w:val="center"/>
          </w:tcPr>
          <w:p w14:paraId="68873953">
            <w:pPr>
              <w:spacing w:line="280" w:lineRule="exac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　引人注目，</w:t>
            </w:r>
          </w:p>
          <w:p w14:paraId="72C6AF4E">
            <w:pPr>
              <w:spacing w:line="280" w:lineRule="exac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不利于基本的安全卫生要求</w:t>
            </w:r>
          </w:p>
        </w:tc>
      </w:tr>
    </w:tbl>
    <w:p w14:paraId="279148EA">
      <w:pPr>
        <w:numPr>
          <w:ilvl w:val="0"/>
          <w:numId w:val="2"/>
        </w:numPr>
        <w:bidi w:val="0"/>
        <w:rPr>
          <w:rFonts w:hint="default" w:ascii="Times New Roman" w:hAnsi="Times New Roman" w:cs="Times New Roman"/>
          <w:color w:val="auto"/>
          <w:lang w:val="en-US" w:eastAsia="zh-CN"/>
        </w:rPr>
      </w:pPr>
      <w:r>
        <w:rPr>
          <w:rFonts w:hint="default" w:ascii="Times New Roman" w:hAnsi="Times New Roman" w:cs="Times New Roman"/>
          <w:color w:val="auto"/>
        </w:rPr>
        <w:t>危险等级划分标准</w:t>
      </w:r>
    </w:p>
    <w:p w14:paraId="6726ED2C">
      <w:pPr>
        <w:bidi w:val="0"/>
        <w:rPr>
          <w:rFonts w:hint="default" w:ascii="Times New Roman" w:hAnsi="Times New Roman" w:cs="Times New Roman"/>
          <w:color w:val="auto"/>
        </w:rPr>
      </w:pPr>
      <w:r>
        <w:rPr>
          <w:rFonts w:hint="default" w:ascii="Times New Roman" w:hAnsi="Times New Roman" w:cs="Times New Roman"/>
          <w:color w:val="auto"/>
        </w:rPr>
        <w:t>根据经验，危险性分值在20分以下为低危险性，这样的危险比日常生活中骑自行车去上班还要安全些，如果危险性分值在20-70之间，为一般危险，需要注意；如果危险性分值在70-160之间，有显著的危险性，需要采取措施整改；如果危险性分值在160-320之间，有高度危险性，必须立即整改；如果危险性分值大于320，极度危险，应立即停止作业，彻底整改。按危险性分值划分危险性等级的标准见</w:t>
      </w:r>
      <w:r>
        <w:rPr>
          <w:rFonts w:hint="default" w:ascii="Times New Roman" w:hAnsi="Times New Roman" w:eastAsia="宋体" w:cs="Times New Roman"/>
          <w:color w:val="auto"/>
          <w:kern w:val="2"/>
          <w:sz w:val="28"/>
          <w:szCs w:val="24"/>
          <w:lang w:val="en-US" w:eastAsia="zh-CN" w:bidi="ar-SA"/>
        </w:rPr>
        <w:t>表4.3-</w:t>
      </w:r>
      <w:r>
        <w:rPr>
          <w:rFonts w:hint="eastAsia" w:ascii="Times New Roman" w:hAnsi="Times New Roman" w:eastAsia="宋体" w:cs="Times New Roman"/>
          <w:color w:val="auto"/>
          <w:kern w:val="2"/>
          <w:sz w:val="28"/>
          <w:szCs w:val="24"/>
          <w:lang w:val="en-US" w:eastAsia="zh-CN" w:bidi="ar-SA"/>
        </w:rPr>
        <w:t>5</w:t>
      </w:r>
      <w:r>
        <w:rPr>
          <w:rFonts w:hint="default" w:ascii="Times New Roman" w:hAnsi="Times New Roman" w:cs="Times New Roman"/>
          <w:color w:val="auto"/>
        </w:rPr>
        <w:t>。</w:t>
      </w:r>
    </w:p>
    <w:p w14:paraId="08E2E9C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4"/>
          <w:lang w:val="en-US" w:eastAsia="zh-CN" w:bidi="ar-SA"/>
        </w:rPr>
        <w:t>表4.3-</w:t>
      </w:r>
      <w:r>
        <w:rPr>
          <w:rFonts w:hint="eastAsia" w:ascii="Times New Roman" w:hAnsi="Times New Roman" w:eastAsia="宋体" w:cs="Times New Roman"/>
          <w:color w:val="auto"/>
          <w:kern w:val="2"/>
          <w:sz w:val="28"/>
          <w:szCs w:val="24"/>
          <w:lang w:val="en-US" w:eastAsia="zh-CN" w:bidi="ar-SA"/>
        </w:rPr>
        <w:t>5</w:t>
      </w:r>
      <w:r>
        <w:rPr>
          <w:rFonts w:hint="default" w:ascii="Times New Roman" w:hAnsi="Times New Roman" w:eastAsia="宋体" w:cs="Times New Roman"/>
          <w:color w:val="auto"/>
          <w:kern w:val="2"/>
          <w:sz w:val="28"/>
          <w:szCs w:val="28"/>
          <w:lang w:val="en-US" w:eastAsia="zh-CN" w:bidi="ar-SA"/>
        </w:rPr>
        <w:t xml:space="preserve"> 危险性等级划分标准</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3"/>
        <w:gridCol w:w="2901"/>
        <w:gridCol w:w="1537"/>
        <w:gridCol w:w="3009"/>
      </w:tblGrid>
      <w:tr w14:paraId="1D1BBA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4" w:hRule="atLeast"/>
          <w:jc w:val="center"/>
        </w:trPr>
        <w:tc>
          <w:tcPr>
            <w:tcW w:w="1193" w:type="dxa"/>
            <w:noWrap w:val="0"/>
            <w:vAlign w:val="center"/>
          </w:tcPr>
          <w:p w14:paraId="5BB4FC36">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D值</w:t>
            </w:r>
          </w:p>
        </w:tc>
        <w:tc>
          <w:tcPr>
            <w:tcW w:w="2901" w:type="dxa"/>
            <w:noWrap w:val="0"/>
            <w:vAlign w:val="center"/>
          </w:tcPr>
          <w:p w14:paraId="27B9D742">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危险程度</w:t>
            </w:r>
          </w:p>
        </w:tc>
        <w:tc>
          <w:tcPr>
            <w:tcW w:w="1537" w:type="dxa"/>
            <w:noWrap w:val="0"/>
            <w:vAlign w:val="center"/>
          </w:tcPr>
          <w:p w14:paraId="2D399543">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D值</w:t>
            </w:r>
          </w:p>
        </w:tc>
        <w:tc>
          <w:tcPr>
            <w:tcW w:w="3009" w:type="dxa"/>
            <w:noWrap w:val="0"/>
            <w:vAlign w:val="center"/>
          </w:tcPr>
          <w:p w14:paraId="36485030">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危险程度</w:t>
            </w:r>
          </w:p>
        </w:tc>
      </w:tr>
      <w:tr w14:paraId="0474D4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2" w:hRule="atLeast"/>
          <w:jc w:val="center"/>
        </w:trPr>
        <w:tc>
          <w:tcPr>
            <w:tcW w:w="1193" w:type="dxa"/>
            <w:noWrap w:val="0"/>
            <w:vAlign w:val="center"/>
          </w:tcPr>
          <w:p w14:paraId="6BFC4C56">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＞320</w:t>
            </w:r>
          </w:p>
        </w:tc>
        <w:tc>
          <w:tcPr>
            <w:tcW w:w="2901" w:type="dxa"/>
            <w:noWrap w:val="0"/>
            <w:vAlign w:val="center"/>
          </w:tcPr>
          <w:p w14:paraId="6100821F">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极其危险，不能继续作业</w:t>
            </w:r>
          </w:p>
        </w:tc>
        <w:tc>
          <w:tcPr>
            <w:tcW w:w="1537" w:type="dxa"/>
            <w:noWrap w:val="0"/>
            <w:vAlign w:val="center"/>
          </w:tcPr>
          <w:p w14:paraId="2CD28A7F">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20－70</w:t>
            </w:r>
          </w:p>
        </w:tc>
        <w:tc>
          <w:tcPr>
            <w:tcW w:w="3009" w:type="dxa"/>
            <w:noWrap w:val="0"/>
            <w:vAlign w:val="center"/>
          </w:tcPr>
          <w:p w14:paraId="34EC48BF">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一般危险，需要注意</w:t>
            </w:r>
          </w:p>
        </w:tc>
      </w:tr>
      <w:tr w14:paraId="71B23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4" w:hRule="atLeast"/>
          <w:jc w:val="center"/>
        </w:trPr>
        <w:tc>
          <w:tcPr>
            <w:tcW w:w="1193" w:type="dxa"/>
            <w:noWrap w:val="0"/>
            <w:vAlign w:val="center"/>
          </w:tcPr>
          <w:p w14:paraId="66FE7F35">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160－320</w:t>
            </w:r>
          </w:p>
        </w:tc>
        <w:tc>
          <w:tcPr>
            <w:tcW w:w="2901" w:type="dxa"/>
            <w:noWrap w:val="0"/>
            <w:vAlign w:val="center"/>
          </w:tcPr>
          <w:p w14:paraId="5D341728">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高度危险，需立即整改</w:t>
            </w:r>
          </w:p>
        </w:tc>
        <w:tc>
          <w:tcPr>
            <w:tcW w:w="1537" w:type="dxa"/>
            <w:noWrap w:val="0"/>
            <w:vAlign w:val="center"/>
          </w:tcPr>
          <w:p w14:paraId="27476619">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＜20</w:t>
            </w:r>
          </w:p>
        </w:tc>
        <w:tc>
          <w:tcPr>
            <w:tcW w:w="3009" w:type="dxa"/>
            <w:noWrap w:val="0"/>
            <w:vAlign w:val="center"/>
          </w:tcPr>
          <w:p w14:paraId="4DD9C175">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稍有危险，可以接受</w:t>
            </w:r>
          </w:p>
        </w:tc>
      </w:tr>
      <w:tr w14:paraId="6BB080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1193" w:type="dxa"/>
            <w:noWrap w:val="0"/>
            <w:vAlign w:val="center"/>
          </w:tcPr>
          <w:p w14:paraId="299A32BF">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70－160</w:t>
            </w:r>
          </w:p>
        </w:tc>
        <w:tc>
          <w:tcPr>
            <w:tcW w:w="2901" w:type="dxa"/>
            <w:noWrap w:val="0"/>
            <w:vAlign w:val="center"/>
          </w:tcPr>
          <w:p w14:paraId="2A8C92AC">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显著危险，需要整改</w:t>
            </w:r>
          </w:p>
        </w:tc>
        <w:tc>
          <w:tcPr>
            <w:tcW w:w="1537" w:type="dxa"/>
            <w:noWrap w:val="0"/>
            <w:vAlign w:val="center"/>
          </w:tcPr>
          <w:p w14:paraId="494A2E0E">
            <w:pPr>
              <w:spacing w:line="240" w:lineRule="auto"/>
              <w:ind w:firstLine="0" w:firstLineChars="0"/>
              <w:jc w:val="center"/>
              <w:rPr>
                <w:rFonts w:hint="default" w:ascii="Times New Roman" w:hAnsi="Times New Roman" w:cs="Times New Roman"/>
                <w:color w:val="auto"/>
                <w:sz w:val="21"/>
                <w:szCs w:val="21"/>
              </w:rPr>
            </w:pPr>
          </w:p>
        </w:tc>
        <w:tc>
          <w:tcPr>
            <w:tcW w:w="3009" w:type="dxa"/>
            <w:noWrap w:val="0"/>
            <w:vAlign w:val="center"/>
          </w:tcPr>
          <w:p w14:paraId="50F6E438">
            <w:pPr>
              <w:spacing w:line="240" w:lineRule="auto"/>
              <w:ind w:firstLine="0" w:firstLineChars="0"/>
              <w:jc w:val="center"/>
              <w:rPr>
                <w:rFonts w:hint="default" w:ascii="Times New Roman" w:hAnsi="Times New Roman" w:cs="Times New Roman"/>
                <w:color w:val="auto"/>
                <w:sz w:val="21"/>
                <w:szCs w:val="21"/>
              </w:rPr>
            </w:pPr>
          </w:p>
        </w:tc>
      </w:tr>
    </w:tbl>
    <w:p w14:paraId="161BFF63">
      <w:pPr>
        <w:rPr>
          <w:rFonts w:hint="default"/>
          <w:color w:val="auto"/>
          <w:lang w:val="en-US" w:eastAsia="zh-CN"/>
        </w:rPr>
      </w:pPr>
    </w:p>
    <w:p w14:paraId="3A674648">
      <w:pPr>
        <w:rPr>
          <w:rFonts w:hint="default"/>
          <w:color w:val="auto"/>
          <w:lang w:val="en-US" w:eastAsia="zh-CN"/>
        </w:rPr>
      </w:pPr>
      <w:r>
        <w:rPr>
          <w:rFonts w:hint="default"/>
          <w:color w:val="auto"/>
          <w:lang w:val="en-US" w:eastAsia="zh-CN"/>
        </w:rPr>
        <w:br w:type="page"/>
      </w:r>
    </w:p>
    <w:p w14:paraId="49B8F4B3">
      <w:pPr>
        <w:pStyle w:val="23"/>
        <w:rPr>
          <w:rFonts w:hint="default"/>
          <w:color w:val="auto"/>
          <w:lang w:val="en-US" w:eastAsia="zh-CN"/>
        </w:rPr>
      </w:pPr>
    </w:p>
    <w:p w14:paraId="3EBCD2C1">
      <w:pPr>
        <w:pStyle w:val="2"/>
        <w:numPr>
          <w:ilvl w:val="0"/>
          <w:numId w:val="1"/>
        </w:numPr>
        <w:bidi w:val="0"/>
        <w:ind w:left="0" w:leftChars="0" w:firstLine="0" w:firstLineChars="0"/>
        <w:rPr>
          <w:rFonts w:hint="default" w:ascii="Times New Roman" w:hAnsi="Times New Roman" w:cs="Times New Roman"/>
          <w:color w:val="auto"/>
          <w:lang w:val="en-US" w:eastAsia="zh-CN"/>
        </w:rPr>
      </w:pPr>
      <w:bookmarkStart w:id="267" w:name="_Toc12793"/>
      <w:bookmarkStart w:id="268" w:name="_Toc29016"/>
      <w:bookmarkStart w:id="269" w:name="_Toc31819"/>
      <w:r>
        <w:rPr>
          <w:rFonts w:hint="default" w:ascii="Times New Roman" w:hAnsi="Times New Roman" w:cs="Times New Roman"/>
          <w:color w:val="auto"/>
          <w:lang w:val="en-US" w:eastAsia="zh-CN"/>
        </w:rPr>
        <w:t>定性定量评价</w:t>
      </w:r>
      <w:bookmarkEnd w:id="267"/>
      <w:bookmarkEnd w:id="268"/>
      <w:bookmarkEnd w:id="269"/>
    </w:p>
    <w:p w14:paraId="6CDC7262">
      <w:pPr>
        <w:keepNext w:val="0"/>
        <w:keepLines w:val="0"/>
        <w:widowControl/>
        <w:suppressLineNumbers w:val="0"/>
        <w:jc w:val="left"/>
        <w:rPr>
          <w:rFonts w:hint="default"/>
          <w:color w:val="auto"/>
          <w:lang w:val="en-US" w:eastAsia="zh-CN"/>
        </w:rPr>
      </w:pPr>
      <w:r>
        <w:rPr>
          <w:rFonts w:hint="default"/>
          <w:color w:val="auto"/>
          <w:lang w:val="en-US" w:eastAsia="zh-CN"/>
        </w:rPr>
        <w:t>采用原江西省安全生产监督管理局制订的《江西省非煤露天矿山安全检査表》，</w:t>
      </w:r>
      <w:r>
        <w:rPr>
          <w:rFonts w:hint="eastAsia" w:ascii="宋体" w:hAnsi="宋体" w:eastAsia="宋体" w:cs="宋体"/>
          <w:color w:val="auto"/>
          <w:kern w:val="0"/>
          <w:sz w:val="28"/>
          <w:szCs w:val="28"/>
          <w:lang w:val="en-US" w:eastAsia="zh-CN" w:bidi="ar"/>
        </w:rPr>
        <w:t>并</w:t>
      </w:r>
      <w:r>
        <w:rPr>
          <w:rFonts w:hint="default"/>
          <w:color w:val="auto"/>
          <w:lang w:val="en-US" w:eastAsia="zh-CN"/>
        </w:rPr>
        <w:t>依照最新的法律法规、标准规范等对相关条款进行调整</w:t>
      </w:r>
      <w:r>
        <w:rPr>
          <w:rFonts w:hint="eastAsia"/>
          <w:color w:val="auto"/>
          <w:lang w:val="en-US" w:eastAsia="zh-CN"/>
        </w:rPr>
        <w:t>，</w:t>
      </w:r>
      <w:r>
        <w:rPr>
          <w:rFonts w:hint="eastAsia" w:ascii="宋体" w:cs="宋体"/>
          <w:color w:val="auto"/>
          <w:sz w:val="28"/>
          <w:szCs w:val="28"/>
          <w:lang w:bidi="ar-SA"/>
        </w:rPr>
        <w:t>对</w:t>
      </w:r>
      <w:r>
        <w:rPr>
          <w:rFonts w:hint="eastAsia" w:ascii="宋体" w:cs="宋体"/>
          <w:color w:val="auto"/>
          <w:sz w:val="28"/>
          <w:szCs w:val="28"/>
          <w:lang w:val="zh-CN" w:eastAsia="zh-CN" w:bidi="ar-SA"/>
        </w:rPr>
        <w:t>江西省坤育矿业有限公司德安县聂桥镇刘家山矿区建筑用辉绿岩矿露天开采工程各评价单元及整个系统</w:t>
      </w:r>
      <w:r>
        <w:rPr>
          <w:rFonts w:hint="eastAsia" w:ascii="宋体" w:cs="宋体"/>
          <w:color w:val="auto"/>
          <w:sz w:val="28"/>
          <w:szCs w:val="28"/>
          <w:lang w:bidi="ar-SA"/>
        </w:rPr>
        <w:t>进行评价。</w:t>
      </w:r>
    </w:p>
    <w:p w14:paraId="2126FE6F">
      <w:pPr>
        <w:pStyle w:val="3"/>
        <w:bidi w:val="0"/>
        <w:rPr>
          <w:rFonts w:hint="default"/>
          <w:color w:val="auto"/>
          <w:lang w:val="en-US" w:eastAsia="zh-CN"/>
        </w:rPr>
      </w:pPr>
      <w:bookmarkStart w:id="270" w:name="_Toc15020"/>
      <w:bookmarkStart w:id="271" w:name="_Toc4723"/>
      <w:bookmarkStart w:id="272" w:name="_Toc23463"/>
      <w:r>
        <w:rPr>
          <w:rFonts w:hint="default"/>
          <w:color w:val="auto"/>
          <w:lang w:val="en-US" w:eastAsia="zh-CN"/>
        </w:rPr>
        <w:t>5.1 安全管理单元</w:t>
      </w:r>
      <w:bookmarkEnd w:id="270"/>
      <w:bookmarkEnd w:id="271"/>
      <w:bookmarkEnd w:id="272"/>
    </w:p>
    <w:p w14:paraId="4EAD1E4A">
      <w:pPr>
        <w:pStyle w:val="4"/>
        <w:bidi w:val="0"/>
        <w:rPr>
          <w:rFonts w:hint="default"/>
          <w:color w:val="auto"/>
          <w:lang w:val="en-US" w:eastAsia="zh-CN"/>
        </w:rPr>
      </w:pPr>
      <w:bookmarkStart w:id="273" w:name="_Toc11152"/>
      <w:bookmarkStart w:id="274" w:name="_Toc4765"/>
      <w:bookmarkStart w:id="275" w:name="_Toc31852"/>
      <w:r>
        <w:rPr>
          <w:rFonts w:hint="eastAsia"/>
          <w:color w:val="auto"/>
          <w:lang w:val="en-US" w:eastAsia="zh-CN"/>
        </w:rPr>
        <w:t>5.1.1 安全管理安全检查表</w:t>
      </w:r>
      <w:bookmarkEnd w:id="273"/>
      <w:bookmarkEnd w:id="274"/>
      <w:bookmarkEnd w:id="275"/>
    </w:p>
    <w:p w14:paraId="712454B7">
      <w:pPr>
        <w:rPr>
          <w:rFonts w:hint="default"/>
          <w:color w:val="auto"/>
          <w:lang w:val="en-US" w:eastAsia="zh-CN"/>
        </w:rPr>
      </w:pPr>
      <w:r>
        <w:rPr>
          <w:rFonts w:hint="default"/>
          <w:color w:val="auto"/>
          <w:lang w:val="en-US" w:eastAsia="zh-CN"/>
        </w:rPr>
        <w:t>安全管理安全检查表如</w:t>
      </w:r>
      <w:r>
        <w:rPr>
          <w:rFonts w:hint="eastAsia"/>
          <w:color w:val="auto"/>
          <w:lang w:val="en-US" w:eastAsia="zh-CN"/>
        </w:rPr>
        <w:t>见</w:t>
      </w:r>
      <w:r>
        <w:rPr>
          <w:rFonts w:hint="default"/>
          <w:color w:val="auto"/>
          <w:lang w:val="en-US" w:eastAsia="zh-CN"/>
        </w:rPr>
        <w:t>5</w:t>
      </w:r>
      <w:r>
        <w:rPr>
          <w:rFonts w:hint="eastAsia"/>
          <w:color w:val="auto"/>
          <w:lang w:val="en-US" w:eastAsia="zh-CN"/>
        </w:rPr>
        <w:t>.1</w:t>
      </w:r>
      <w:r>
        <w:rPr>
          <w:rFonts w:hint="default"/>
          <w:color w:val="auto"/>
          <w:lang w:val="en-US" w:eastAsia="zh-CN"/>
        </w:rPr>
        <w:t>-1所示。</w:t>
      </w:r>
    </w:p>
    <w:p w14:paraId="2E98B70F">
      <w:pPr>
        <w:ind w:left="0" w:leftChars="0" w:firstLine="0" w:firstLineChars="0"/>
        <w:jc w:val="center"/>
        <w:rPr>
          <w:rFonts w:hint="eastAsia"/>
          <w:color w:val="auto"/>
          <w:lang w:val="en-US" w:eastAsia="zh-CN"/>
        </w:rPr>
      </w:pPr>
      <w:r>
        <w:rPr>
          <w:rFonts w:hint="default"/>
          <w:color w:val="auto"/>
          <w:lang w:val="en-US" w:eastAsia="zh-CN"/>
        </w:rPr>
        <w:t>表5</w:t>
      </w:r>
      <w:r>
        <w:rPr>
          <w:rFonts w:hint="eastAsia"/>
          <w:color w:val="auto"/>
          <w:lang w:val="en-US" w:eastAsia="zh-CN"/>
        </w:rPr>
        <w:t>.1</w:t>
      </w:r>
      <w:r>
        <w:rPr>
          <w:rFonts w:hint="default"/>
          <w:color w:val="auto"/>
          <w:lang w:val="en-US" w:eastAsia="zh-CN"/>
        </w:rPr>
        <w:t>-1</w:t>
      </w:r>
      <w:r>
        <w:rPr>
          <w:rFonts w:hint="eastAsia"/>
          <w:color w:val="auto"/>
          <w:lang w:val="en-US" w:eastAsia="zh-CN"/>
        </w:rPr>
        <w:t xml:space="preserve"> 安全管理检查表</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2"/>
        <w:gridCol w:w="2623"/>
        <w:gridCol w:w="1684"/>
        <w:gridCol w:w="1038"/>
        <w:gridCol w:w="704"/>
        <w:gridCol w:w="681"/>
        <w:gridCol w:w="944"/>
        <w:gridCol w:w="642"/>
      </w:tblGrid>
      <w:tr w14:paraId="2F6FC9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2" w:type="dxa"/>
            <w:vAlign w:val="center"/>
          </w:tcPr>
          <w:p w14:paraId="6EA6D54D">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b/>
                <w:bCs/>
                <w:color w:val="auto"/>
                <w:sz w:val="21"/>
                <w:szCs w:val="21"/>
                <w:vertAlign w:val="baseline"/>
                <w:lang w:val="en-US" w:eastAsia="zh-CN"/>
              </w:rPr>
            </w:pPr>
            <w:r>
              <w:rPr>
                <w:rFonts w:hint="eastAsia"/>
                <w:b/>
                <w:bCs/>
                <w:color w:val="auto"/>
                <w:sz w:val="21"/>
                <w:szCs w:val="21"/>
                <w:vertAlign w:val="baseline"/>
                <w:lang w:val="en-US" w:eastAsia="zh-CN"/>
              </w:rPr>
              <w:t>检查</w:t>
            </w:r>
          </w:p>
          <w:p w14:paraId="0C7B79CD">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b/>
                <w:bCs/>
                <w:color w:val="auto"/>
                <w:sz w:val="21"/>
                <w:szCs w:val="21"/>
                <w:vertAlign w:val="baseline"/>
                <w:lang w:val="en-US" w:eastAsia="zh-CN"/>
              </w:rPr>
            </w:pPr>
            <w:r>
              <w:rPr>
                <w:rFonts w:hint="eastAsia"/>
                <w:b/>
                <w:bCs/>
                <w:color w:val="auto"/>
                <w:sz w:val="21"/>
                <w:szCs w:val="21"/>
                <w:vertAlign w:val="baseline"/>
                <w:lang w:val="en-US" w:eastAsia="zh-CN"/>
              </w:rPr>
              <w:t>项目</w:t>
            </w:r>
          </w:p>
        </w:tc>
        <w:tc>
          <w:tcPr>
            <w:tcW w:w="2623" w:type="dxa"/>
            <w:vAlign w:val="center"/>
          </w:tcPr>
          <w:p w14:paraId="23F209D7">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b/>
                <w:bCs/>
                <w:color w:val="auto"/>
                <w:sz w:val="21"/>
                <w:szCs w:val="21"/>
                <w:vertAlign w:val="baseline"/>
                <w:lang w:val="en-US" w:eastAsia="zh-CN"/>
              </w:rPr>
            </w:pPr>
            <w:r>
              <w:rPr>
                <w:rFonts w:hint="eastAsia"/>
                <w:b/>
                <w:bCs/>
                <w:color w:val="auto"/>
                <w:sz w:val="21"/>
                <w:szCs w:val="21"/>
                <w:vertAlign w:val="baseline"/>
                <w:lang w:val="en-US" w:eastAsia="zh-CN"/>
              </w:rPr>
              <w:t>检查内容</w:t>
            </w:r>
          </w:p>
        </w:tc>
        <w:tc>
          <w:tcPr>
            <w:tcW w:w="1684" w:type="dxa"/>
            <w:vAlign w:val="center"/>
          </w:tcPr>
          <w:p w14:paraId="60D96C8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b/>
                <w:bCs/>
                <w:color w:val="auto"/>
                <w:sz w:val="21"/>
                <w:szCs w:val="21"/>
                <w:vertAlign w:val="baseline"/>
                <w:lang w:val="en-US" w:eastAsia="zh-CN"/>
              </w:rPr>
            </w:pPr>
            <w:r>
              <w:rPr>
                <w:rFonts w:hint="default"/>
                <w:b/>
                <w:bCs/>
                <w:color w:val="auto"/>
                <w:sz w:val="21"/>
                <w:szCs w:val="21"/>
                <w:vertAlign w:val="baseline"/>
                <w:lang w:val="en-US" w:eastAsia="zh-CN"/>
              </w:rPr>
              <w:t>检查依据</w:t>
            </w:r>
          </w:p>
        </w:tc>
        <w:tc>
          <w:tcPr>
            <w:tcW w:w="1038" w:type="dxa"/>
            <w:vAlign w:val="center"/>
          </w:tcPr>
          <w:p w14:paraId="77FD1094">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b/>
                <w:bCs/>
                <w:color w:val="auto"/>
                <w:sz w:val="21"/>
                <w:szCs w:val="21"/>
                <w:vertAlign w:val="baseline"/>
                <w:lang w:val="en-US" w:eastAsia="zh-CN"/>
              </w:rPr>
            </w:pPr>
            <w:r>
              <w:rPr>
                <w:rFonts w:hint="default"/>
                <w:b/>
                <w:bCs/>
                <w:color w:val="auto"/>
                <w:sz w:val="21"/>
                <w:szCs w:val="21"/>
                <w:vertAlign w:val="baseline"/>
                <w:lang w:val="en-US" w:eastAsia="zh-CN"/>
              </w:rPr>
              <w:t>检查方法及地点</w:t>
            </w:r>
          </w:p>
        </w:tc>
        <w:tc>
          <w:tcPr>
            <w:tcW w:w="704" w:type="dxa"/>
            <w:vAlign w:val="center"/>
          </w:tcPr>
          <w:p w14:paraId="2AD4A85A">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b/>
                <w:bCs/>
                <w:color w:val="auto"/>
                <w:sz w:val="21"/>
                <w:szCs w:val="21"/>
                <w:vertAlign w:val="baseline"/>
                <w:lang w:val="en-US" w:eastAsia="zh-CN"/>
              </w:rPr>
            </w:pPr>
            <w:r>
              <w:rPr>
                <w:rFonts w:hint="default"/>
                <w:b/>
                <w:bCs/>
                <w:color w:val="auto"/>
                <w:sz w:val="21"/>
                <w:szCs w:val="21"/>
                <w:vertAlign w:val="baseline"/>
                <w:lang w:val="en-US" w:eastAsia="zh-CN"/>
              </w:rPr>
              <w:t>检查</w:t>
            </w:r>
          </w:p>
          <w:p w14:paraId="03E1C0E6">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b/>
                <w:bCs/>
                <w:color w:val="auto"/>
                <w:sz w:val="21"/>
                <w:szCs w:val="21"/>
                <w:vertAlign w:val="baseline"/>
                <w:lang w:val="en-US" w:eastAsia="zh-CN"/>
              </w:rPr>
            </w:pPr>
            <w:r>
              <w:rPr>
                <w:rFonts w:hint="default"/>
                <w:b/>
                <w:bCs/>
                <w:color w:val="auto"/>
                <w:sz w:val="21"/>
                <w:szCs w:val="21"/>
                <w:vertAlign w:val="baseline"/>
                <w:lang w:val="en-US" w:eastAsia="zh-CN"/>
              </w:rPr>
              <w:t>记录</w:t>
            </w:r>
          </w:p>
        </w:tc>
        <w:tc>
          <w:tcPr>
            <w:tcW w:w="681" w:type="dxa"/>
            <w:vAlign w:val="center"/>
          </w:tcPr>
          <w:p w14:paraId="7C0B8F7C">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b/>
                <w:bCs/>
                <w:color w:val="auto"/>
                <w:sz w:val="21"/>
                <w:szCs w:val="21"/>
                <w:vertAlign w:val="baseline"/>
                <w:lang w:val="en-US" w:eastAsia="zh-CN"/>
              </w:rPr>
            </w:pPr>
            <w:r>
              <w:rPr>
                <w:rFonts w:hint="default"/>
                <w:b/>
                <w:bCs/>
                <w:color w:val="auto"/>
                <w:sz w:val="21"/>
                <w:szCs w:val="21"/>
                <w:vertAlign w:val="baseline"/>
                <w:lang w:val="en-US" w:eastAsia="zh-CN"/>
              </w:rPr>
              <w:t>标准</w:t>
            </w:r>
          </w:p>
          <w:p w14:paraId="4B730ED4">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b/>
                <w:bCs/>
                <w:color w:val="auto"/>
                <w:sz w:val="21"/>
                <w:szCs w:val="21"/>
                <w:vertAlign w:val="baseline"/>
                <w:lang w:val="en-US" w:eastAsia="zh-CN"/>
              </w:rPr>
            </w:pPr>
            <w:r>
              <w:rPr>
                <w:rFonts w:hint="default"/>
                <w:b/>
                <w:bCs/>
                <w:color w:val="auto"/>
                <w:sz w:val="21"/>
                <w:szCs w:val="21"/>
                <w:vertAlign w:val="baseline"/>
                <w:lang w:val="en-US" w:eastAsia="zh-CN"/>
              </w:rPr>
              <w:t>分值</w:t>
            </w:r>
          </w:p>
        </w:tc>
        <w:tc>
          <w:tcPr>
            <w:tcW w:w="944" w:type="dxa"/>
            <w:vAlign w:val="center"/>
          </w:tcPr>
          <w:p w14:paraId="682C79A3">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b/>
                <w:bCs/>
                <w:color w:val="auto"/>
                <w:sz w:val="21"/>
                <w:szCs w:val="21"/>
                <w:vertAlign w:val="baseline"/>
                <w:lang w:val="en-US" w:eastAsia="zh-CN"/>
              </w:rPr>
            </w:pPr>
            <w:r>
              <w:rPr>
                <w:rFonts w:hint="default"/>
                <w:b/>
                <w:bCs/>
                <w:color w:val="auto"/>
                <w:sz w:val="21"/>
                <w:szCs w:val="21"/>
                <w:vertAlign w:val="baseline"/>
                <w:lang w:val="en-US" w:eastAsia="zh-CN"/>
              </w:rPr>
              <w:t>评分</w:t>
            </w:r>
          </w:p>
          <w:p w14:paraId="44576A5C">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b/>
                <w:bCs/>
                <w:color w:val="auto"/>
                <w:sz w:val="21"/>
                <w:szCs w:val="21"/>
                <w:vertAlign w:val="baseline"/>
                <w:lang w:val="en-US" w:eastAsia="zh-CN"/>
              </w:rPr>
            </w:pPr>
            <w:r>
              <w:rPr>
                <w:rFonts w:hint="default"/>
                <w:b/>
                <w:bCs/>
                <w:color w:val="auto"/>
                <w:sz w:val="21"/>
                <w:szCs w:val="21"/>
                <w:vertAlign w:val="baseline"/>
                <w:lang w:val="en-US" w:eastAsia="zh-CN"/>
              </w:rPr>
              <w:t>标准</w:t>
            </w:r>
          </w:p>
        </w:tc>
        <w:tc>
          <w:tcPr>
            <w:tcW w:w="642" w:type="dxa"/>
            <w:vAlign w:val="center"/>
          </w:tcPr>
          <w:p w14:paraId="65EE14B4">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b/>
                <w:bCs/>
                <w:color w:val="auto"/>
                <w:sz w:val="21"/>
                <w:szCs w:val="21"/>
                <w:vertAlign w:val="baseline"/>
                <w:lang w:val="en-US" w:eastAsia="zh-CN"/>
              </w:rPr>
            </w:pPr>
            <w:r>
              <w:rPr>
                <w:rFonts w:hint="eastAsia"/>
                <w:b/>
                <w:bCs/>
                <w:color w:val="auto"/>
                <w:sz w:val="21"/>
                <w:szCs w:val="21"/>
                <w:vertAlign w:val="baseline"/>
                <w:lang w:val="en-US" w:eastAsia="zh-CN"/>
              </w:rPr>
              <w:t>得分</w:t>
            </w:r>
          </w:p>
        </w:tc>
      </w:tr>
      <w:tr w14:paraId="4023E4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2" w:type="dxa"/>
            <w:vMerge w:val="restart"/>
            <w:vAlign w:val="center"/>
          </w:tcPr>
          <w:p w14:paraId="4F4F634F">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1. 相关证照（协议）</w:t>
            </w:r>
          </w:p>
        </w:tc>
        <w:tc>
          <w:tcPr>
            <w:tcW w:w="2623" w:type="dxa"/>
            <w:vAlign w:val="center"/>
          </w:tcPr>
          <w:p w14:paraId="21737B86">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1.</w:t>
            </w:r>
            <w:r>
              <w:rPr>
                <w:rFonts w:hint="eastAsia"/>
                <w:color w:val="auto"/>
                <w:sz w:val="21"/>
                <w:szCs w:val="21"/>
                <w:vertAlign w:val="baseline"/>
                <w:lang w:val="en-US" w:eastAsia="zh-CN"/>
              </w:rPr>
              <w:t>1</w:t>
            </w:r>
            <w:r>
              <w:rPr>
                <w:rFonts w:hint="default"/>
                <w:color w:val="auto"/>
                <w:sz w:val="21"/>
                <w:szCs w:val="21"/>
                <w:vertAlign w:val="baseline"/>
                <w:lang w:val="en-US" w:eastAsia="zh-CN"/>
              </w:rPr>
              <w:t xml:space="preserve"> 安全生产许可证</w:t>
            </w:r>
          </w:p>
        </w:tc>
        <w:tc>
          <w:tcPr>
            <w:tcW w:w="1684" w:type="dxa"/>
            <w:vAlign w:val="center"/>
          </w:tcPr>
          <w:p w14:paraId="4A97EB84">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《安全生产许可证条例》第二条</w:t>
            </w:r>
          </w:p>
        </w:tc>
        <w:tc>
          <w:tcPr>
            <w:tcW w:w="1038" w:type="dxa"/>
            <w:vAlign w:val="center"/>
          </w:tcPr>
          <w:p w14:paraId="549DC77F">
            <w:pPr>
              <w:pStyle w:val="36"/>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查看有</w:t>
            </w:r>
          </w:p>
          <w:p w14:paraId="17221A44">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default" w:ascii="Times New Roman" w:hAnsi="Times New Roman" w:eastAsia="宋体" w:cs="Times New Roman"/>
                <w:color w:val="auto"/>
                <w:kern w:val="2"/>
                <w:sz w:val="21"/>
                <w:szCs w:val="21"/>
                <w:vertAlign w:val="baseline"/>
                <w:lang w:val="en-US" w:eastAsia="zh-CN" w:bidi="ar-SA"/>
              </w:rPr>
              <w:t>效证件</w:t>
            </w:r>
          </w:p>
        </w:tc>
        <w:tc>
          <w:tcPr>
            <w:tcW w:w="704" w:type="dxa"/>
            <w:vAlign w:val="center"/>
          </w:tcPr>
          <w:p w14:paraId="72B1B264">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default" w:ascii="Times New Roman" w:hAnsi="Times New Roman" w:eastAsia="宋体" w:cs="Times New Roman"/>
                <w:color w:val="auto"/>
                <w:kern w:val="2"/>
                <w:sz w:val="21"/>
                <w:szCs w:val="21"/>
                <w:vertAlign w:val="baseline"/>
                <w:lang w:val="en-US" w:eastAsia="zh-CN" w:bidi="ar-SA"/>
              </w:rPr>
              <w:t>合格</w:t>
            </w:r>
          </w:p>
        </w:tc>
        <w:tc>
          <w:tcPr>
            <w:tcW w:w="681" w:type="dxa"/>
            <w:vAlign w:val="center"/>
          </w:tcPr>
          <w:p w14:paraId="33594CDF">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w:t>
            </w:r>
          </w:p>
        </w:tc>
        <w:tc>
          <w:tcPr>
            <w:tcW w:w="944" w:type="dxa"/>
            <w:vAlign w:val="center"/>
          </w:tcPr>
          <w:p w14:paraId="6FC9A0DF">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default" w:ascii="Times New Roman" w:hAnsi="Times New Roman" w:eastAsia="宋体" w:cs="Times New Roman"/>
                <w:color w:val="auto"/>
                <w:kern w:val="2"/>
                <w:sz w:val="21"/>
                <w:szCs w:val="21"/>
                <w:vertAlign w:val="baseline"/>
                <w:lang w:val="en-US" w:eastAsia="zh-CN" w:bidi="ar-SA"/>
              </w:rPr>
              <w:t>否决项</w:t>
            </w:r>
          </w:p>
        </w:tc>
        <w:tc>
          <w:tcPr>
            <w:tcW w:w="642" w:type="dxa"/>
            <w:vAlign w:val="center"/>
          </w:tcPr>
          <w:p w14:paraId="43EC236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w:t>
            </w:r>
          </w:p>
        </w:tc>
      </w:tr>
      <w:tr w14:paraId="47912F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972" w:type="dxa"/>
            <w:vMerge w:val="continue"/>
            <w:vAlign w:val="center"/>
          </w:tcPr>
          <w:p w14:paraId="72693781">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p>
        </w:tc>
        <w:tc>
          <w:tcPr>
            <w:tcW w:w="2623" w:type="dxa"/>
            <w:vAlign w:val="center"/>
          </w:tcPr>
          <w:p w14:paraId="254A1355">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1.2 工商营业执照</w:t>
            </w:r>
          </w:p>
        </w:tc>
        <w:tc>
          <w:tcPr>
            <w:tcW w:w="1684" w:type="dxa"/>
            <w:vAlign w:val="center"/>
          </w:tcPr>
          <w:p w14:paraId="10DD7A9B">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安监总局令第20号第八条第（二）款</w:t>
            </w:r>
          </w:p>
        </w:tc>
        <w:tc>
          <w:tcPr>
            <w:tcW w:w="1038" w:type="dxa"/>
            <w:vAlign w:val="center"/>
          </w:tcPr>
          <w:p w14:paraId="2C2A35A2">
            <w:pPr>
              <w:pStyle w:val="36"/>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查看有</w:t>
            </w:r>
          </w:p>
          <w:p w14:paraId="0F26B2AC">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default" w:ascii="Times New Roman" w:hAnsi="Times New Roman" w:eastAsia="宋体" w:cs="Times New Roman"/>
                <w:color w:val="auto"/>
                <w:kern w:val="2"/>
                <w:sz w:val="21"/>
                <w:szCs w:val="21"/>
                <w:vertAlign w:val="baseline"/>
                <w:lang w:val="en-US" w:eastAsia="zh-CN" w:bidi="ar-SA"/>
              </w:rPr>
              <w:t>效证件</w:t>
            </w:r>
          </w:p>
        </w:tc>
        <w:tc>
          <w:tcPr>
            <w:tcW w:w="704" w:type="dxa"/>
            <w:vAlign w:val="center"/>
          </w:tcPr>
          <w:p w14:paraId="3C371A54">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default" w:ascii="Times New Roman" w:hAnsi="Times New Roman" w:eastAsia="宋体" w:cs="Times New Roman"/>
                <w:color w:val="auto"/>
                <w:kern w:val="2"/>
                <w:sz w:val="21"/>
                <w:szCs w:val="21"/>
                <w:vertAlign w:val="baseline"/>
                <w:lang w:val="en-US" w:eastAsia="zh-CN" w:bidi="ar-SA"/>
              </w:rPr>
              <w:t>合格</w:t>
            </w:r>
          </w:p>
        </w:tc>
        <w:tc>
          <w:tcPr>
            <w:tcW w:w="681" w:type="dxa"/>
            <w:vAlign w:val="center"/>
          </w:tcPr>
          <w:p w14:paraId="6DF04DF5">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w:t>
            </w:r>
          </w:p>
        </w:tc>
        <w:tc>
          <w:tcPr>
            <w:tcW w:w="944" w:type="dxa"/>
            <w:vAlign w:val="center"/>
          </w:tcPr>
          <w:p w14:paraId="4675E2E4">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default" w:ascii="Times New Roman" w:hAnsi="Times New Roman" w:eastAsia="宋体" w:cs="Times New Roman"/>
                <w:color w:val="auto"/>
                <w:kern w:val="2"/>
                <w:sz w:val="21"/>
                <w:szCs w:val="21"/>
                <w:vertAlign w:val="baseline"/>
                <w:lang w:val="en-US" w:eastAsia="zh-CN" w:bidi="ar-SA"/>
              </w:rPr>
              <w:t>否决项</w:t>
            </w:r>
          </w:p>
        </w:tc>
        <w:tc>
          <w:tcPr>
            <w:tcW w:w="642" w:type="dxa"/>
            <w:vAlign w:val="center"/>
          </w:tcPr>
          <w:p w14:paraId="3F7D3F17">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w:t>
            </w:r>
          </w:p>
        </w:tc>
      </w:tr>
      <w:tr w14:paraId="3522CB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972" w:type="dxa"/>
            <w:vMerge w:val="continue"/>
            <w:vAlign w:val="center"/>
          </w:tcPr>
          <w:p w14:paraId="27C82136">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p>
        </w:tc>
        <w:tc>
          <w:tcPr>
            <w:tcW w:w="2623" w:type="dxa"/>
            <w:vAlign w:val="center"/>
          </w:tcPr>
          <w:p w14:paraId="635244D0">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1.3 采矿许可证</w:t>
            </w:r>
          </w:p>
        </w:tc>
        <w:tc>
          <w:tcPr>
            <w:tcW w:w="1684" w:type="dxa"/>
            <w:vAlign w:val="center"/>
          </w:tcPr>
          <w:p w14:paraId="135CCBD2">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安监总局令第20号第八条第（三）款</w:t>
            </w:r>
          </w:p>
        </w:tc>
        <w:tc>
          <w:tcPr>
            <w:tcW w:w="1038" w:type="dxa"/>
            <w:vAlign w:val="center"/>
          </w:tcPr>
          <w:p w14:paraId="200A7CAD">
            <w:pPr>
              <w:pStyle w:val="36"/>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查看有</w:t>
            </w:r>
          </w:p>
          <w:p w14:paraId="0642CC0E">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default" w:ascii="Times New Roman" w:hAnsi="Times New Roman" w:eastAsia="宋体" w:cs="Times New Roman"/>
                <w:color w:val="auto"/>
                <w:kern w:val="2"/>
                <w:sz w:val="21"/>
                <w:szCs w:val="21"/>
                <w:vertAlign w:val="baseline"/>
                <w:lang w:val="en-US" w:eastAsia="zh-CN" w:bidi="ar-SA"/>
              </w:rPr>
              <w:t>效证件</w:t>
            </w:r>
          </w:p>
        </w:tc>
        <w:tc>
          <w:tcPr>
            <w:tcW w:w="704" w:type="dxa"/>
            <w:vAlign w:val="center"/>
          </w:tcPr>
          <w:p w14:paraId="447F0533">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default" w:ascii="Times New Roman" w:hAnsi="Times New Roman" w:eastAsia="宋体" w:cs="Times New Roman"/>
                <w:color w:val="auto"/>
                <w:kern w:val="2"/>
                <w:sz w:val="21"/>
                <w:szCs w:val="21"/>
                <w:vertAlign w:val="baseline"/>
                <w:lang w:val="en-US" w:eastAsia="zh-CN" w:bidi="ar-SA"/>
              </w:rPr>
              <w:t>合格</w:t>
            </w:r>
          </w:p>
        </w:tc>
        <w:tc>
          <w:tcPr>
            <w:tcW w:w="681" w:type="dxa"/>
            <w:vAlign w:val="center"/>
          </w:tcPr>
          <w:p w14:paraId="63137E93">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w:t>
            </w:r>
          </w:p>
        </w:tc>
        <w:tc>
          <w:tcPr>
            <w:tcW w:w="944" w:type="dxa"/>
            <w:vAlign w:val="center"/>
          </w:tcPr>
          <w:p w14:paraId="43AE9C1B">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default" w:ascii="Times New Roman" w:hAnsi="Times New Roman" w:eastAsia="宋体" w:cs="Times New Roman"/>
                <w:color w:val="auto"/>
                <w:kern w:val="2"/>
                <w:sz w:val="21"/>
                <w:szCs w:val="21"/>
                <w:vertAlign w:val="baseline"/>
                <w:lang w:val="en-US" w:eastAsia="zh-CN" w:bidi="ar-SA"/>
              </w:rPr>
              <w:t>否决项</w:t>
            </w:r>
          </w:p>
        </w:tc>
        <w:tc>
          <w:tcPr>
            <w:tcW w:w="642" w:type="dxa"/>
            <w:vAlign w:val="center"/>
          </w:tcPr>
          <w:p w14:paraId="5F4C493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w:t>
            </w:r>
          </w:p>
        </w:tc>
      </w:tr>
      <w:tr w14:paraId="5466BA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972" w:type="dxa"/>
            <w:vMerge w:val="continue"/>
            <w:vAlign w:val="center"/>
          </w:tcPr>
          <w:p w14:paraId="33B7507E">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p>
        </w:tc>
        <w:tc>
          <w:tcPr>
            <w:tcW w:w="2623" w:type="dxa"/>
            <w:vAlign w:val="center"/>
          </w:tcPr>
          <w:p w14:paraId="5A728728">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1.4 民用爆破作业单位许可证</w:t>
            </w:r>
          </w:p>
        </w:tc>
        <w:tc>
          <w:tcPr>
            <w:tcW w:w="1684" w:type="dxa"/>
            <w:vAlign w:val="center"/>
          </w:tcPr>
          <w:p w14:paraId="553B95EC">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《民用爆炸物品管理条例》第三条</w:t>
            </w:r>
          </w:p>
        </w:tc>
        <w:tc>
          <w:tcPr>
            <w:tcW w:w="1038" w:type="dxa"/>
            <w:vAlign w:val="center"/>
          </w:tcPr>
          <w:p w14:paraId="0334A50E">
            <w:pPr>
              <w:pStyle w:val="36"/>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查看有</w:t>
            </w:r>
          </w:p>
          <w:p w14:paraId="2431FE1A">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default" w:ascii="Times New Roman" w:hAnsi="Times New Roman" w:eastAsia="宋体" w:cs="Times New Roman"/>
                <w:color w:val="auto"/>
                <w:kern w:val="2"/>
                <w:sz w:val="21"/>
                <w:szCs w:val="21"/>
                <w:vertAlign w:val="baseline"/>
                <w:lang w:val="en-US" w:eastAsia="zh-CN" w:bidi="ar-SA"/>
              </w:rPr>
              <w:t>效证件</w:t>
            </w:r>
          </w:p>
        </w:tc>
        <w:tc>
          <w:tcPr>
            <w:tcW w:w="704" w:type="dxa"/>
            <w:vAlign w:val="center"/>
          </w:tcPr>
          <w:p w14:paraId="53EC39E1">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default" w:ascii="Times New Roman" w:hAnsi="Times New Roman" w:eastAsia="宋体" w:cs="Times New Roman"/>
                <w:color w:val="auto"/>
                <w:kern w:val="2"/>
                <w:sz w:val="21"/>
                <w:szCs w:val="21"/>
                <w:vertAlign w:val="baseline"/>
                <w:lang w:val="en-US" w:eastAsia="zh-CN" w:bidi="ar-SA"/>
              </w:rPr>
              <w:t>合格</w:t>
            </w:r>
          </w:p>
        </w:tc>
        <w:tc>
          <w:tcPr>
            <w:tcW w:w="681" w:type="dxa"/>
            <w:vAlign w:val="center"/>
          </w:tcPr>
          <w:p w14:paraId="121C46DC">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w:t>
            </w:r>
          </w:p>
        </w:tc>
        <w:tc>
          <w:tcPr>
            <w:tcW w:w="944" w:type="dxa"/>
            <w:vAlign w:val="center"/>
          </w:tcPr>
          <w:p w14:paraId="15BD0061">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default" w:ascii="Times New Roman" w:hAnsi="Times New Roman" w:eastAsia="宋体" w:cs="Times New Roman"/>
                <w:color w:val="auto"/>
                <w:kern w:val="2"/>
                <w:sz w:val="21"/>
                <w:szCs w:val="21"/>
                <w:vertAlign w:val="baseline"/>
                <w:lang w:val="en-US" w:eastAsia="zh-CN" w:bidi="ar-SA"/>
              </w:rPr>
              <w:t>否决项</w:t>
            </w:r>
          </w:p>
        </w:tc>
        <w:tc>
          <w:tcPr>
            <w:tcW w:w="642" w:type="dxa"/>
            <w:vAlign w:val="center"/>
          </w:tcPr>
          <w:p w14:paraId="54DF0CD5">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w:t>
            </w:r>
          </w:p>
        </w:tc>
      </w:tr>
      <w:tr w14:paraId="47A5CB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972" w:type="dxa"/>
            <w:vMerge w:val="continue"/>
            <w:vAlign w:val="center"/>
          </w:tcPr>
          <w:p w14:paraId="71FB0633">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p>
        </w:tc>
        <w:tc>
          <w:tcPr>
            <w:tcW w:w="2623" w:type="dxa"/>
            <w:vAlign w:val="center"/>
          </w:tcPr>
          <w:p w14:paraId="285E6AA0">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1.5 矿山主要负责人安全资格证</w:t>
            </w:r>
          </w:p>
        </w:tc>
        <w:tc>
          <w:tcPr>
            <w:tcW w:w="1684" w:type="dxa"/>
            <w:vAlign w:val="center"/>
          </w:tcPr>
          <w:p w14:paraId="10E02B37">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《安全生产法》</w:t>
            </w:r>
          </w:p>
          <w:p w14:paraId="26B57F5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第二十七条</w:t>
            </w:r>
          </w:p>
        </w:tc>
        <w:tc>
          <w:tcPr>
            <w:tcW w:w="1038" w:type="dxa"/>
            <w:vAlign w:val="center"/>
          </w:tcPr>
          <w:p w14:paraId="177F217C">
            <w:pPr>
              <w:pStyle w:val="36"/>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查看有</w:t>
            </w:r>
          </w:p>
          <w:p w14:paraId="781FC9E6">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default" w:ascii="Times New Roman" w:hAnsi="Times New Roman" w:eastAsia="宋体" w:cs="Times New Roman"/>
                <w:color w:val="auto"/>
                <w:kern w:val="2"/>
                <w:sz w:val="21"/>
                <w:szCs w:val="21"/>
                <w:vertAlign w:val="baseline"/>
                <w:lang w:val="en-US" w:eastAsia="zh-CN" w:bidi="ar-SA"/>
              </w:rPr>
              <w:t>效证件</w:t>
            </w:r>
          </w:p>
        </w:tc>
        <w:tc>
          <w:tcPr>
            <w:tcW w:w="704" w:type="dxa"/>
            <w:vAlign w:val="center"/>
          </w:tcPr>
          <w:p w14:paraId="3FD425A1">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default" w:ascii="Times New Roman" w:hAnsi="Times New Roman" w:eastAsia="宋体" w:cs="Times New Roman"/>
                <w:color w:val="auto"/>
                <w:kern w:val="2"/>
                <w:sz w:val="21"/>
                <w:szCs w:val="21"/>
                <w:vertAlign w:val="baseline"/>
                <w:lang w:val="en-US" w:eastAsia="zh-CN" w:bidi="ar-SA"/>
              </w:rPr>
              <w:t>合格</w:t>
            </w:r>
          </w:p>
        </w:tc>
        <w:tc>
          <w:tcPr>
            <w:tcW w:w="681" w:type="dxa"/>
            <w:vAlign w:val="center"/>
          </w:tcPr>
          <w:p w14:paraId="3881663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w:t>
            </w:r>
          </w:p>
        </w:tc>
        <w:tc>
          <w:tcPr>
            <w:tcW w:w="944" w:type="dxa"/>
            <w:vAlign w:val="center"/>
          </w:tcPr>
          <w:p w14:paraId="6966DEBD">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default" w:ascii="Times New Roman" w:hAnsi="Times New Roman" w:eastAsia="宋体" w:cs="Times New Roman"/>
                <w:color w:val="auto"/>
                <w:kern w:val="2"/>
                <w:sz w:val="21"/>
                <w:szCs w:val="21"/>
                <w:vertAlign w:val="baseline"/>
                <w:lang w:val="en-US" w:eastAsia="zh-CN" w:bidi="ar-SA"/>
              </w:rPr>
              <w:t>否决项</w:t>
            </w:r>
          </w:p>
        </w:tc>
        <w:tc>
          <w:tcPr>
            <w:tcW w:w="642" w:type="dxa"/>
            <w:vAlign w:val="center"/>
          </w:tcPr>
          <w:p w14:paraId="3D42702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w:t>
            </w:r>
          </w:p>
        </w:tc>
      </w:tr>
      <w:tr w14:paraId="38259B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972" w:type="dxa"/>
            <w:vMerge w:val="continue"/>
            <w:shd w:val="clear" w:color="auto" w:fill="auto"/>
            <w:vAlign w:val="center"/>
          </w:tcPr>
          <w:p w14:paraId="5F70B421">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p>
        </w:tc>
        <w:tc>
          <w:tcPr>
            <w:tcW w:w="2623" w:type="dxa"/>
            <w:shd w:val="clear" w:color="auto" w:fill="auto"/>
            <w:vAlign w:val="center"/>
          </w:tcPr>
          <w:p w14:paraId="0B1A4226">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1.6 安全管理人员资格证</w:t>
            </w:r>
          </w:p>
        </w:tc>
        <w:tc>
          <w:tcPr>
            <w:tcW w:w="1684" w:type="dxa"/>
            <w:shd w:val="clear" w:color="auto" w:fill="auto"/>
            <w:vAlign w:val="center"/>
          </w:tcPr>
          <w:p w14:paraId="326EB22D">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《安全生产法》</w:t>
            </w:r>
          </w:p>
          <w:p w14:paraId="292C6BE6">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color w:val="auto"/>
                <w:sz w:val="21"/>
                <w:szCs w:val="21"/>
                <w:vertAlign w:val="baseline"/>
                <w:lang w:val="en-US" w:eastAsia="zh-CN"/>
              </w:rPr>
              <w:t>第二十七条</w:t>
            </w:r>
          </w:p>
        </w:tc>
        <w:tc>
          <w:tcPr>
            <w:tcW w:w="1038" w:type="dxa"/>
            <w:shd w:val="clear" w:color="auto" w:fill="auto"/>
            <w:vAlign w:val="center"/>
          </w:tcPr>
          <w:p w14:paraId="620FDD21">
            <w:pPr>
              <w:pStyle w:val="36"/>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查看有</w:t>
            </w:r>
          </w:p>
          <w:p w14:paraId="6F149B88">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效证件</w:t>
            </w:r>
          </w:p>
        </w:tc>
        <w:tc>
          <w:tcPr>
            <w:tcW w:w="704" w:type="dxa"/>
            <w:shd w:val="clear" w:color="auto" w:fill="auto"/>
            <w:vAlign w:val="center"/>
          </w:tcPr>
          <w:p w14:paraId="4B2E46E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合格</w:t>
            </w:r>
          </w:p>
        </w:tc>
        <w:tc>
          <w:tcPr>
            <w:tcW w:w="681" w:type="dxa"/>
            <w:shd w:val="clear" w:color="auto" w:fill="auto"/>
            <w:vAlign w:val="center"/>
          </w:tcPr>
          <w:p w14:paraId="243E282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w:t>
            </w:r>
          </w:p>
        </w:tc>
        <w:tc>
          <w:tcPr>
            <w:tcW w:w="944" w:type="dxa"/>
            <w:shd w:val="clear" w:color="auto" w:fill="auto"/>
            <w:vAlign w:val="center"/>
          </w:tcPr>
          <w:p w14:paraId="242C0FBA">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否决项</w:t>
            </w:r>
          </w:p>
        </w:tc>
        <w:tc>
          <w:tcPr>
            <w:tcW w:w="642" w:type="dxa"/>
            <w:shd w:val="clear" w:color="auto" w:fill="auto"/>
            <w:vAlign w:val="center"/>
          </w:tcPr>
          <w:p w14:paraId="13DD9661">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w:t>
            </w:r>
          </w:p>
        </w:tc>
      </w:tr>
      <w:tr w14:paraId="376A70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972" w:type="dxa"/>
            <w:vMerge w:val="continue"/>
            <w:shd w:val="clear" w:color="auto" w:fill="auto"/>
            <w:vAlign w:val="center"/>
          </w:tcPr>
          <w:p w14:paraId="69CB4004">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p>
        </w:tc>
        <w:tc>
          <w:tcPr>
            <w:tcW w:w="2623" w:type="dxa"/>
            <w:shd w:val="clear" w:color="auto" w:fill="auto"/>
            <w:vAlign w:val="center"/>
          </w:tcPr>
          <w:p w14:paraId="1A7D913F">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1.7 特种作业人员上岗资格证</w:t>
            </w:r>
          </w:p>
        </w:tc>
        <w:tc>
          <w:tcPr>
            <w:tcW w:w="1684" w:type="dxa"/>
            <w:shd w:val="clear" w:color="auto" w:fill="auto"/>
            <w:vAlign w:val="center"/>
          </w:tcPr>
          <w:p w14:paraId="1F3ACD7C">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《安全生产法》</w:t>
            </w:r>
          </w:p>
          <w:p w14:paraId="3AAC87B1">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第三十条</w:t>
            </w:r>
          </w:p>
        </w:tc>
        <w:tc>
          <w:tcPr>
            <w:tcW w:w="1038" w:type="dxa"/>
            <w:shd w:val="clear" w:color="auto" w:fill="auto"/>
            <w:vAlign w:val="center"/>
          </w:tcPr>
          <w:p w14:paraId="1E78BBFF">
            <w:pPr>
              <w:pStyle w:val="36"/>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查看有</w:t>
            </w:r>
          </w:p>
          <w:p w14:paraId="2914D337">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效证件</w:t>
            </w:r>
          </w:p>
        </w:tc>
        <w:tc>
          <w:tcPr>
            <w:tcW w:w="704" w:type="dxa"/>
            <w:shd w:val="clear" w:color="auto" w:fill="auto"/>
            <w:vAlign w:val="center"/>
          </w:tcPr>
          <w:p w14:paraId="163DD846">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合格</w:t>
            </w:r>
          </w:p>
        </w:tc>
        <w:tc>
          <w:tcPr>
            <w:tcW w:w="681" w:type="dxa"/>
            <w:shd w:val="clear" w:color="auto" w:fill="auto"/>
            <w:vAlign w:val="center"/>
          </w:tcPr>
          <w:p w14:paraId="24B136F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w:t>
            </w:r>
          </w:p>
        </w:tc>
        <w:tc>
          <w:tcPr>
            <w:tcW w:w="944" w:type="dxa"/>
            <w:shd w:val="clear" w:color="auto" w:fill="auto"/>
            <w:vAlign w:val="center"/>
          </w:tcPr>
          <w:p w14:paraId="119C3EDD">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否决项</w:t>
            </w:r>
          </w:p>
        </w:tc>
        <w:tc>
          <w:tcPr>
            <w:tcW w:w="642" w:type="dxa"/>
            <w:shd w:val="clear" w:color="auto" w:fill="auto"/>
            <w:vAlign w:val="center"/>
          </w:tcPr>
          <w:p w14:paraId="4DC1A16F">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w:t>
            </w:r>
          </w:p>
        </w:tc>
      </w:tr>
      <w:tr w14:paraId="7503F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0" w:hRule="atLeast"/>
          <w:jc w:val="center"/>
        </w:trPr>
        <w:tc>
          <w:tcPr>
            <w:tcW w:w="972" w:type="dxa"/>
            <w:vMerge w:val="continue"/>
            <w:shd w:val="clear" w:color="auto" w:fill="auto"/>
            <w:vAlign w:val="center"/>
          </w:tcPr>
          <w:p w14:paraId="59590BA6">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p>
        </w:tc>
        <w:tc>
          <w:tcPr>
            <w:tcW w:w="2623" w:type="dxa"/>
            <w:shd w:val="clear" w:color="auto" w:fill="auto"/>
            <w:vAlign w:val="center"/>
          </w:tcPr>
          <w:p w14:paraId="383D5E84">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1.8 从业人员应当进行安全生产教育和培训，未经安全生产教育和培训合格的从业人员，不得上岗作业</w:t>
            </w:r>
          </w:p>
        </w:tc>
        <w:tc>
          <w:tcPr>
            <w:tcW w:w="1684" w:type="dxa"/>
            <w:shd w:val="clear" w:color="auto" w:fill="auto"/>
            <w:vAlign w:val="center"/>
          </w:tcPr>
          <w:p w14:paraId="5C60C6A8">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《安全生产法》</w:t>
            </w:r>
          </w:p>
          <w:p w14:paraId="25CA617F">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第二十八条</w:t>
            </w:r>
          </w:p>
        </w:tc>
        <w:tc>
          <w:tcPr>
            <w:tcW w:w="1038" w:type="dxa"/>
            <w:shd w:val="clear" w:color="auto" w:fill="auto"/>
            <w:vAlign w:val="center"/>
          </w:tcPr>
          <w:p w14:paraId="552146AA">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查看</w:t>
            </w:r>
            <w:r>
              <w:rPr>
                <w:rFonts w:hint="eastAsia" w:ascii="Times New Roman" w:hAnsi="Times New Roman" w:eastAsia="宋体" w:cs="Times New Roman"/>
                <w:color w:val="auto"/>
                <w:kern w:val="2"/>
                <w:sz w:val="21"/>
                <w:szCs w:val="21"/>
                <w:vertAlign w:val="baseline"/>
                <w:lang w:val="en-US" w:eastAsia="zh-CN" w:bidi="ar-SA"/>
              </w:rPr>
              <w:t>培训记录</w:t>
            </w:r>
          </w:p>
        </w:tc>
        <w:tc>
          <w:tcPr>
            <w:tcW w:w="704" w:type="dxa"/>
            <w:shd w:val="clear" w:color="auto" w:fill="auto"/>
            <w:vAlign w:val="center"/>
          </w:tcPr>
          <w:p w14:paraId="4309009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合格</w:t>
            </w:r>
          </w:p>
        </w:tc>
        <w:tc>
          <w:tcPr>
            <w:tcW w:w="681" w:type="dxa"/>
            <w:shd w:val="clear" w:color="auto" w:fill="auto"/>
            <w:vAlign w:val="center"/>
          </w:tcPr>
          <w:p w14:paraId="1D82450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w:t>
            </w:r>
          </w:p>
        </w:tc>
        <w:tc>
          <w:tcPr>
            <w:tcW w:w="944" w:type="dxa"/>
            <w:shd w:val="clear" w:color="auto" w:fill="auto"/>
            <w:vAlign w:val="center"/>
          </w:tcPr>
          <w:p w14:paraId="5D8C1925">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否决项</w:t>
            </w:r>
          </w:p>
        </w:tc>
        <w:tc>
          <w:tcPr>
            <w:tcW w:w="642" w:type="dxa"/>
            <w:shd w:val="clear" w:color="auto" w:fill="auto"/>
            <w:vAlign w:val="center"/>
          </w:tcPr>
          <w:p w14:paraId="68A7A04A">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w:t>
            </w:r>
          </w:p>
        </w:tc>
      </w:tr>
      <w:tr w14:paraId="5102F8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atLeast"/>
          <w:jc w:val="center"/>
        </w:trPr>
        <w:tc>
          <w:tcPr>
            <w:tcW w:w="972" w:type="dxa"/>
            <w:vMerge w:val="continue"/>
            <w:shd w:val="clear" w:color="auto" w:fill="auto"/>
            <w:vAlign w:val="center"/>
          </w:tcPr>
          <w:p w14:paraId="7A5CB65D">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p>
        </w:tc>
        <w:tc>
          <w:tcPr>
            <w:tcW w:w="2623" w:type="dxa"/>
            <w:shd w:val="clear" w:color="auto" w:fill="auto"/>
            <w:vAlign w:val="center"/>
          </w:tcPr>
          <w:p w14:paraId="5EBE6443">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1.9 危险化学品安全使用许可证</w:t>
            </w:r>
          </w:p>
        </w:tc>
        <w:tc>
          <w:tcPr>
            <w:tcW w:w="1684" w:type="dxa"/>
            <w:shd w:val="clear" w:color="auto" w:fill="auto"/>
            <w:vAlign w:val="center"/>
          </w:tcPr>
          <w:p w14:paraId="02C35AF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《危险化学品安全管理条例》第六条</w:t>
            </w:r>
          </w:p>
        </w:tc>
        <w:tc>
          <w:tcPr>
            <w:tcW w:w="1038" w:type="dxa"/>
            <w:shd w:val="clear" w:color="auto" w:fill="auto"/>
            <w:vAlign w:val="center"/>
          </w:tcPr>
          <w:p w14:paraId="635223D0">
            <w:pPr>
              <w:pStyle w:val="36"/>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查看有</w:t>
            </w:r>
          </w:p>
          <w:p w14:paraId="5A51F0B0">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效证件</w:t>
            </w:r>
          </w:p>
        </w:tc>
        <w:tc>
          <w:tcPr>
            <w:tcW w:w="704" w:type="dxa"/>
            <w:shd w:val="clear" w:color="auto" w:fill="auto"/>
            <w:vAlign w:val="center"/>
          </w:tcPr>
          <w:p w14:paraId="44BB133D">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不涉及</w:t>
            </w:r>
          </w:p>
        </w:tc>
        <w:tc>
          <w:tcPr>
            <w:tcW w:w="681" w:type="dxa"/>
            <w:shd w:val="clear" w:color="auto" w:fill="auto"/>
            <w:vAlign w:val="center"/>
          </w:tcPr>
          <w:p w14:paraId="37E578C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w:t>
            </w:r>
          </w:p>
        </w:tc>
        <w:tc>
          <w:tcPr>
            <w:tcW w:w="944" w:type="dxa"/>
            <w:shd w:val="clear" w:color="auto" w:fill="auto"/>
            <w:vAlign w:val="center"/>
          </w:tcPr>
          <w:p w14:paraId="3089405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否决项</w:t>
            </w:r>
          </w:p>
        </w:tc>
        <w:tc>
          <w:tcPr>
            <w:tcW w:w="642" w:type="dxa"/>
            <w:shd w:val="clear" w:color="auto" w:fill="auto"/>
            <w:vAlign w:val="center"/>
          </w:tcPr>
          <w:p w14:paraId="1B411C84">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w:t>
            </w:r>
          </w:p>
        </w:tc>
      </w:tr>
      <w:tr w14:paraId="20A61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4" w:hRule="atLeast"/>
          <w:jc w:val="center"/>
        </w:trPr>
        <w:tc>
          <w:tcPr>
            <w:tcW w:w="972" w:type="dxa"/>
            <w:vMerge w:val="continue"/>
            <w:shd w:val="clear" w:color="auto" w:fill="auto"/>
            <w:vAlign w:val="center"/>
          </w:tcPr>
          <w:p w14:paraId="76051879">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p>
        </w:tc>
        <w:tc>
          <w:tcPr>
            <w:tcW w:w="2623" w:type="dxa"/>
            <w:shd w:val="clear" w:color="auto" w:fill="auto"/>
            <w:vAlign w:val="center"/>
          </w:tcPr>
          <w:p w14:paraId="3CE59457">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1.10与外包单位签订安全生产管理协议</w:t>
            </w:r>
          </w:p>
        </w:tc>
        <w:tc>
          <w:tcPr>
            <w:tcW w:w="1684" w:type="dxa"/>
            <w:shd w:val="clear" w:color="auto" w:fill="auto"/>
            <w:vAlign w:val="center"/>
          </w:tcPr>
          <w:p w14:paraId="38698338">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《安全生产法》</w:t>
            </w:r>
          </w:p>
          <w:p w14:paraId="3FE70DF0">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第四十六条</w:t>
            </w:r>
          </w:p>
        </w:tc>
        <w:tc>
          <w:tcPr>
            <w:tcW w:w="1038" w:type="dxa"/>
            <w:shd w:val="clear" w:color="auto" w:fill="auto"/>
            <w:vAlign w:val="center"/>
          </w:tcPr>
          <w:p w14:paraId="1D368624">
            <w:pPr>
              <w:pStyle w:val="36"/>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查看有</w:t>
            </w:r>
          </w:p>
          <w:p w14:paraId="769DE903">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效证件</w:t>
            </w:r>
          </w:p>
        </w:tc>
        <w:tc>
          <w:tcPr>
            <w:tcW w:w="704" w:type="dxa"/>
            <w:shd w:val="clear" w:color="auto" w:fill="auto"/>
            <w:vAlign w:val="center"/>
          </w:tcPr>
          <w:p w14:paraId="02FF8EBD">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合格</w:t>
            </w:r>
          </w:p>
        </w:tc>
        <w:tc>
          <w:tcPr>
            <w:tcW w:w="681" w:type="dxa"/>
            <w:shd w:val="clear" w:color="auto" w:fill="auto"/>
            <w:vAlign w:val="center"/>
          </w:tcPr>
          <w:p w14:paraId="0DEAB49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w:t>
            </w:r>
          </w:p>
        </w:tc>
        <w:tc>
          <w:tcPr>
            <w:tcW w:w="944" w:type="dxa"/>
            <w:shd w:val="clear" w:color="auto" w:fill="auto"/>
            <w:vAlign w:val="center"/>
          </w:tcPr>
          <w:p w14:paraId="56F38D04">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否决项</w:t>
            </w:r>
          </w:p>
        </w:tc>
        <w:tc>
          <w:tcPr>
            <w:tcW w:w="642" w:type="dxa"/>
            <w:shd w:val="clear" w:color="auto" w:fill="auto"/>
            <w:vAlign w:val="center"/>
          </w:tcPr>
          <w:p w14:paraId="72AEE6A3">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w:t>
            </w:r>
          </w:p>
        </w:tc>
      </w:tr>
      <w:tr w14:paraId="4B0DD2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2" w:type="dxa"/>
            <w:vMerge w:val="restart"/>
            <w:shd w:val="clear" w:color="auto" w:fill="auto"/>
            <w:vAlign w:val="center"/>
          </w:tcPr>
          <w:p w14:paraId="7FDDB56E">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2</w:t>
            </w:r>
            <w:r>
              <w:rPr>
                <w:rFonts w:hint="eastAsia"/>
                <w:color w:val="auto"/>
                <w:sz w:val="21"/>
                <w:szCs w:val="21"/>
                <w:vertAlign w:val="baseline"/>
                <w:lang w:val="en-US" w:eastAsia="zh-CN"/>
              </w:rPr>
              <w:t xml:space="preserve">. </w:t>
            </w:r>
            <w:r>
              <w:rPr>
                <w:rFonts w:hint="default" w:ascii="Times New Roman" w:hAnsi="Times New Roman" w:eastAsia="宋体" w:cs="Times New Roman"/>
                <w:color w:val="auto"/>
                <w:kern w:val="2"/>
                <w:sz w:val="21"/>
                <w:szCs w:val="21"/>
                <w:vertAlign w:val="baseline"/>
                <w:lang w:val="en-US" w:eastAsia="zh-CN" w:bidi="ar-SA"/>
              </w:rPr>
              <w:t>安全生产管理体系和制度建设</w:t>
            </w:r>
          </w:p>
        </w:tc>
        <w:tc>
          <w:tcPr>
            <w:tcW w:w="2623" w:type="dxa"/>
            <w:shd w:val="clear" w:color="auto" w:fill="auto"/>
            <w:vAlign w:val="center"/>
          </w:tcPr>
          <w:p w14:paraId="4EB71B67">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2.1 应建立安全生产管理体系</w:t>
            </w:r>
          </w:p>
        </w:tc>
        <w:tc>
          <w:tcPr>
            <w:tcW w:w="1684" w:type="dxa"/>
            <w:shd w:val="clear" w:color="auto" w:fill="auto"/>
            <w:vAlign w:val="center"/>
          </w:tcPr>
          <w:p w14:paraId="736D19CC">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《安全生产法》</w:t>
            </w:r>
          </w:p>
          <w:p w14:paraId="2612101C">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第二十四条</w:t>
            </w:r>
          </w:p>
        </w:tc>
        <w:tc>
          <w:tcPr>
            <w:tcW w:w="1038" w:type="dxa"/>
            <w:shd w:val="clear" w:color="auto" w:fill="auto"/>
            <w:vAlign w:val="center"/>
          </w:tcPr>
          <w:p w14:paraId="429649FA">
            <w:pPr>
              <w:pStyle w:val="36"/>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查看有</w:t>
            </w:r>
          </w:p>
          <w:p w14:paraId="04689ED9">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效证件</w:t>
            </w:r>
          </w:p>
        </w:tc>
        <w:tc>
          <w:tcPr>
            <w:tcW w:w="704" w:type="dxa"/>
            <w:shd w:val="clear" w:color="auto" w:fill="auto"/>
            <w:vAlign w:val="center"/>
          </w:tcPr>
          <w:p w14:paraId="2F4C675D">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已建立</w:t>
            </w:r>
          </w:p>
        </w:tc>
        <w:tc>
          <w:tcPr>
            <w:tcW w:w="681" w:type="dxa"/>
            <w:shd w:val="clear" w:color="auto" w:fill="auto"/>
            <w:vAlign w:val="center"/>
          </w:tcPr>
          <w:p w14:paraId="5DD75E61">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1</w:t>
            </w:r>
          </w:p>
        </w:tc>
        <w:tc>
          <w:tcPr>
            <w:tcW w:w="944" w:type="dxa"/>
            <w:shd w:val="clear" w:color="auto" w:fill="auto"/>
            <w:vAlign w:val="center"/>
          </w:tcPr>
          <w:p w14:paraId="1ED4B376">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未建立不得分</w:t>
            </w:r>
          </w:p>
        </w:tc>
        <w:tc>
          <w:tcPr>
            <w:tcW w:w="642" w:type="dxa"/>
            <w:shd w:val="clear" w:color="auto" w:fill="auto"/>
            <w:vAlign w:val="center"/>
          </w:tcPr>
          <w:p w14:paraId="399FC44D">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1</w:t>
            </w:r>
          </w:p>
        </w:tc>
      </w:tr>
      <w:tr w14:paraId="327C75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2" w:type="dxa"/>
            <w:vMerge w:val="continue"/>
            <w:shd w:val="clear" w:color="auto" w:fill="auto"/>
            <w:vAlign w:val="center"/>
          </w:tcPr>
          <w:p w14:paraId="588B119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p>
        </w:tc>
        <w:tc>
          <w:tcPr>
            <w:tcW w:w="2623" w:type="dxa"/>
            <w:shd w:val="clear" w:color="auto" w:fill="auto"/>
            <w:vAlign w:val="center"/>
          </w:tcPr>
          <w:p w14:paraId="7AF189C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2.2 设置安全管理机构或配备专职人员</w:t>
            </w:r>
          </w:p>
        </w:tc>
        <w:tc>
          <w:tcPr>
            <w:tcW w:w="1684" w:type="dxa"/>
            <w:shd w:val="clear" w:color="auto" w:fill="auto"/>
            <w:vAlign w:val="center"/>
          </w:tcPr>
          <w:p w14:paraId="053716F5">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《安全生产法》</w:t>
            </w:r>
          </w:p>
          <w:p w14:paraId="4C4D9FE7">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第二十四条</w:t>
            </w:r>
          </w:p>
        </w:tc>
        <w:tc>
          <w:tcPr>
            <w:tcW w:w="1038" w:type="dxa"/>
            <w:shd w:val="clear" w:color="auto" w:fill="auto"/>
            <w:vAlign w:val="center"/>
          </w:tcPr>
          <w:p w14:paraId="13378406">
            <w:pPr>
              <w:pStyle w:val="36"/>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查看有</w:t>
            </w:r>
          </w:p>
          <w:p w14:paraId="5209C049">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效证件</w:t>
            </w:r>
          </w:p>
        </w:tc>
        <w:tc>
          <w:tcPr>
            <w:tcW w:w="704" w:type="dxa"/>
            <w:shd w:val="clear" w:color="auto" w:fill="auto"/>
            <w:vAlign w:val="center"/>
          </w:tcPr>
          <w:p w14:paraId="704837CC">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已设置和配备</w:t>
            </w:r>
          </w:p>
        </w:tc>
        <w:tc>
          <w:tcPr>
            <w:tcW w:w="681" w:type="dxa"/>
            <w:shd w:val="clear" w:color="auto" w:fill="auto"/>
            <w:vAlign w:val="center"/>
          </w:tcPr>
          <w:p w14:paraId="16654721">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1</w:t>
            </w:r>
          </w:p>
        </w:tc>
        <w:tc>
          <w:tcPr>
            <w:tcW w:w="944" w:type="dxa"/>
            <w:shd w:val="clear" w:color="auto" w:fill="auto"/>
            <w:vAlign w:val="center"/>
          </w:tcPr>
          <w:p w14:paraId="689764AF">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未建立不得分</w:t>
            </w:r>
          </w:p>
        </w:tc>
        <w:tc>
          <w:tcPr>
            <w:tcW w:w="642" w:type="dxa"/>
            <w:shd w:val="clear" w:color="auto" w:fill="auto"/>
            <w:vAlign w:val="center"/>
          </w:tcPr>
          <w:p w14:paraId="5BF0BCE0">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1</w:t>
            </w:r>
          </w:p>
        </w:tc>
      </w:tr>
      <w:tr w14:paraId="4413C4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2" w:type="dxa"/>
            <w:vMerge w:val="continue"/>
            <w:shd w:val="clear" w:color="auto" w:fill="auto"/>
            <w:vAlign w:val="center"/>
          </w:tcPr>
          <w:p w14:paraId="10B8C839">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p>
        </w:tc>
        <w:tc>
          <w:tcPr>
            <w:tcW w:w="2623" w:type="dxa"/>
            <w:shd w:val="clear" w:color="auto" w:fill="auto"/>
            <w:vAlign w:val="center"/>
          </w:tcPr>
          <w:p w14:paraId="10CB8D49">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2.3 专职安全生产管理人员数量露天矿山应当不少于2人</w:t>
            </w:r>
          </w:p>
        </w:tc>
        <w:tc>
          <w:tcPr>
            <w:tcW w:w="1684" w:type="dxa"/>
            <w:shd w:val="clear" w:color="auto" w:fill="auto"/>
            <w:vAlign w:val="center"/>
          </w:tcPr>
          <w:p w14:paraId="454FCAAE">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矿安[2022]4号</w:t>
            </w:r>
          </w:p>
          <w:p w14:paraId="21566E10">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第（十）条</w:t>
            </w:r>
          </w:p>
        </w:tc>
        <w:tc>
          <w:tcPr>
            <w:tcW w:w="1038" w:type="dxa"/>
            <w:shd w:val="clear" w:color="auto" w:fill="auto"/>
            <w:vAlign w:val="center"/>
          </w:tcPr>
          <w:p w14:paraId="6D9FE12D">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查有效证件、证书</w:t>
            </w:r>
          </w:p>
        </w:tc>
        <w:tc>
          <w:tcPr>
            <w:tcW w:w="704" w:type="dxa"/>
            <w:shd w:val="clear" w:color="auto" w:fill="auto"/>
            <w:vAlign w:val="center"/>
          </w:tcPr>
          <w:p w14:paraId="1735294D">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满足</w:t>
            </w:r>
          </w:p>
        </w:tc>
        <w:tc>
          <w:tcPr>
            <w:tcW w:w="681" w:type="dxa"/>
            <w:shd w:val="clear" w:color="auto" w:fill="auto"/>
            <w:vAlign w:val="center"/>
          </w:tcPr>
          <w:p w14:paraId="4F3ED6FD">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2</w:t>
            </w:r>
          </w:p>
        </w:tc>
        <w:tc>
          <w:tcPr>
            <w:tcW w:w="944" w:type="dxa"/>
            <w:shd w:val="clear" w:color="auto" w:fill="auto"/>
            <w:vAlign w:val="center"/>
          </w:tcPr>
          <w:p w14:paraId="3873B49F">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未建立不得分</w:t>
            </w:r>
          </w:p>
        </w:tc>
        <w:tc>
          <w:tcPr>
            <w:tcW w:w="642" w:type="dxa"/>
            <w:shd w:val="clear" w:color="auto" w:fill="auto"/>
            <w:vAlign w:val="center"/>
          </w:tcPr>
          <w:p w14:paraId="607DA2F3">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2</w:t>
            </w:r>
          </w:p>
        </w:tc>
      </w:tr>
      <w:tr w14:paraId="5D1879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2" w:type="dxa"/>
            <w:vMerge w:val="continue"/>
            <w:shd w:val="clear" w:color="auto" w:fill="auto"/>
            <w:vAlign w:val="center"/>
          </w:tcPr>
          <w:p w14:paraId="668B126D">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p>
        </w:tc>
        <w:tc>
          <w:tcPr>
            <w:tcW w:w="2623" w:type="dxa"/>
            <w:shd w:val="clear" w:color="auto" w:fill="auto"/>
            <w:vAlign w:val="center"/>
          </w:tcPr>
          <w:p w14:paraId="7EED6536">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2.4 应当有注册安全工程从事安全生产管理工作</w:t>
            </w:r>
          </w:p>
        </w:tc>
        <w:tc>
          <w:tcPr>
            <w:tcW w:w="1684" w:type="dxa"/>
            <w:shd w:val="clear" w:color="auto" w:fill="auto"/>
            <w:vAlign w:val="center"/>
          </w:tcPr>
          <w:p w14:paraId="097CDDB7">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《安全生产法》</w:t>
            </w:r>
          </w:p>
          <w:p w14:paraId="5ED31529">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第二十</w:t>
            </w:r>
            <w:r>
              <w:rPr>
                <w:rFonts w:hint="eastAsia" w:ascii="Times New Roman" w:hAnsi="Times New Roman" w:eastAsia="宋体" w:cs="Times New Roman"/>
                <w:color w:val="auto"/>
                <w:kern w:val="2"/>
                <w:sz w:val="21"/>
                <w:szCs w:val="21"/>
                <w:vertAlign w:val="baseline"/>
                <w:lang w:val="en-US" w:eastAsia="zh-CN" w:bidi="ar-SA"/>
              </w:rPr>
              <w:t>七</w:t>
            </w:r>
            <w:r>
              <w:rPr>
                <w:rFonts w:hint="default" w:ascii="Times New Roman" w:hAnsi="Times New Roman" w:eastAsia="宋体" w:cs="Times New Roman"/>
                <w:color w:val="auto"/>
                <w:kern w:val="2"/>
                <w:sz w:val="21"/>
                <w:szCs w:val="21"/>
                <w:vertAlign w:val="baseline"/>
                <w:lang w:val="en-US" w:eastAsia="zh-CN" w:bidi="ar-SA"/>
              </w:rPr>
              <w:t>条</w:t>
            </w:r>
          </w:p>
        </w:tc>
        <w:tc>
          <w:tcPr>
            <w:tcW w:w="1038" w:type="dxa"/>
            <w:shd w:val="clear" w:color="auto" w:fill="auto"/>
            <w:vAlign w:val="center"/>
          </w:tcPr>
          <w:p w14:paraId="71894035">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查有效证件、证书</w:t>
            </w:r>
          </w:p>
        </w:tc>
        <w:tc>
          <w:tcPr>
            <w:tcW w:w="704" w:type="dxa"/>
            <w:shd w:val="clear" w:color="auto" w:fill="auto"/>
            <w:vAlign w:val="center"/>
          </w:tcPr>
          <w:p w14:paraId="24085C64">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有</w:t>
            </w:r>
          </w:p>
        </w:tc>
        <w:tc>
          <w:tcPr>
            <w:tcW w:w="681" w:type="dxa"/>
            <w:shd w:val="clear" w:color="auto" w:fill="auto"/>
            <w:vAlign w:val="center"/>
          </w:tcPr>
          <w:p w14:paraId="7782D888">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1</w:t>
            </w:r>
          </w:p>
        </w:tc>
        <w:tc>
          <w:tcPr>
            <w:tcW w:w="944" w:type="dxa"/>
            <w:shd w:val="clear" w:color="auto" w:fill="auto"/>
            <w:vAlign w:val="center"/>
          </w:tcPr>
          <w:p w14:paraId="6C736817">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不符合不得分</w:t>
            </w:r>
          </w:p>
        </w:tc>
        <w:tc>
          <w:tcPr>
            <w:tcW w:w="642" w:type="dxa"/>
            <w:shd w:val="clear" w:color="auto" w:fill="auto"/>
            <w:vAlign w:val="center"/>
          </w:tcPr>
          <w:p w14:paraId="6EAACA98">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1</w:t>
            </w:r>
          </w:p>
        </w:tc>
      </w:tr>
      <w:tr w14:paraId="50C5F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2" w:type="dxa"/>
            <w:vMerge w:val="continue"/>
            <w:shd w:val="clear" w:color="auto" w:fill="auto"/>
            <w:vAlign w:val="center"/>
          </w:tcPr>
          <w:p w14:paraId="392A1616">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p>
        </w:tc>
        <w:tc>
          <w:tcPr>
            <w:tcW w:w="2623" w:type="dxa"/>
            <w:shd w:val="clear" w:color="auto" w:fill="auto"/>
            <w:vAlign w:val="center"/>
          </w:tcPr>
          <w:p w14:paraId="01CCCADC">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2.5 露天矿山应当配备具有采矿、地质、机电等矿山相关专业中专及以上学历或者中级及以上技术职称的专职技术人员，每个专业至少配备1人</w:t>
            </w:r>
          </w:p>
        </w:tc>
        <w:tc>
          <w:tcPr>
            <w:tcW w:w="1684" w:type="dxa"/>
            <w:shd w:val="clear" w:color="auto" w:fill="auto"/>
            <w:vAlign w:val="center"/>
          </w:tcPr>
          <w:p w14:paraId="1607A92B">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矿安[2022]4号</w:t>
            </w:r>
          </w:p>
          <w:p w14:paraId="3D5A9CB5">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第（十</w:t>
            </w:r>
            <w:r>
              <w:rPr>
                <w:rFonts w:hint="eastAsia" w:ascii="Times New Roman" w:hAnsi="Times New Roman" w:eastAsia="宋体" w:cs="Times New Roman"/>
                <w:color w:val="auto"/>
                <w:kern w:val="2"/>
                <w:sz w:val="21"/>
                <w:szCs w:val="21"/>
                <w:vertAlign w:val="baseline"/>
                <w:lang w:val="en-US" w:eastAsia="zh-CN" w:bidi="ar-SA"/>
              </w:rPr>
              <w:t>一</w:t>
            </w:r>
            <w:r>
              <w:rPr>
                <w:rFonts w:hint="default" w:ascii="Times New Roman" w:hAnsi="Times New Roman" w:eastAsia="宋体" w:cs="Times New Roman"/>
                <w:color w:val="auto"/>
                <w:kern w:val="2"/>
                <w:sz w:val="21"/>
                <w:szCs w:val="21"/>
                <w:vertAlign w:val="baseline"/>
                <w:lang w:val="en-US" w:eastAsia="zh-CN" w:bidi="ar-SA"/>
              </w:rPr>
              <w:t>）条</w:t>
            </w:r>
          </w:p>
        </w:tc>
        <w:tc>
          <w:tcPr>
            <w:tcW w:w="1038" w:type="dxa"/>
            <w:shd w:val="clear" w:color="auto" w:fill="auto"/>
            <w:vAlign w:val="center"/>
          </w:tcPr>
          <w:p w14:paraId="5058F501">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查有效证件、证书</w:t>
            </w:r>
          </w:p>
        </w:tc>
        <w:tc>
          <w:tcPr>
            <w:tcW w:w="704" w:type="dxa"/>
            <w:shd w:val="clear" w:color="auto" w:fill="auto"/>
            <w:vAlign w:val="center"/>
          </w:tcPr>
          <w:p w14:paraId="03E686D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缺少地质专职技术人员</w:t>
            </w:r>
          </w:p>
        </w:tc>
        <w:tc>
          <w:tcPr>
            <w:tcW w:w="681" w:type="dxa"/>
            <w:shd w:val="clear" w:color="auto" w:fill="auto"/>
            <w:vAlign w:val="center"/>
          </w:tcPr>
          <w:p w14:paraId="0A37032B">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6</w:t>
            </w:r>
          </w:p>
        </w:tc>
        <w:tc>
          <w:tcPr>
            <w:tcW w:w="944" w:type="dxa"/>
            <w:shd w:val="clear" w:color="auto" w:fill="auto"/>
            <w:vAlign w:val="center"/>
          </w:tcPr>
          <w:p w14:paraId="47386896">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缺1项扣2分</w:t>
            </w:r>
          </w:p>
        </w:tc>
        <w:tc>
          <w:tcPr>
            <w:tcW w:w="642" w:type="dxa"/>
            <w:shd w:val="clear" w:color="auto" w:fill="auto"/>
            <w:vAlign w:val="center"/>
          </w:tcPr>
          <w:p w14:paraId="6642A6BE">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4</w:t>
            </w:r>
          </w:p>
        </w:tc>
      </w:tr>
      <w:tr w14:paraId="1B4388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2" w:type="dxa"/>
            <w:vMerge w:val="continue"/>
            <w:shd w:val="clear" w:color="auto" w:fill="auto"/>
            <w:vAlign w:val="center"/>
          </w:tcPr>
          <w:p w14:paraId="2B9F1D8C">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p>
        </w:tc>
        <w:tc>
          <w:tcPr>
            <w:tcW w:w="2623" w:type="dxa"/>
            <w:shd w:val="clear" w:color="auto" w:fill="auto"/>
            <w:vAlign w:val="center"/>
          </w:tcPr>
          <w:p w14:paraId="11DFB6B3">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2.6 建立和健全企业全员安全生产责任制，明确各岗位的责任人员、责任范围和考核标准等内容</w:t>
            </w:r>
          </w:p>
        </w:tc>
        <w:tc>
          <w:tcPr>
            <w:tcW w:w="1684" w:type="dxa"/>
            <w:shd w:val="clear" w:color="auto" w:fill="auto"/>
            <w:vAlign w:val="center"/>
          </w:tcPr>
          <w:p w14:paraId="20FC0E96">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《安全生产法》</w:t>
            </w:r>
          </w:p>
          <w:p w14:paraId="4D48979B">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第二十</w:t>
            </w:r>
            <w:r>
              <w:rPr>
                <w:rFonts w:hint="eastAsia" w:ascii="Times New Roman" w:hAnsi="Times New Roman" w:eastAsia="宋体" w:cs="Times New Roman"/>
                <w:color w:val="auto"/>
                <w:kern w:val="2"/>
                <w:sz w:val="21"/>
                <w:szCs w:val="21"/>
                <w:vertAlign w:val="baseline"/>
                <w:lang w:val="en-US" w:eastAsia="zh-CN" w:bidi="ar-SA"/>
              </w:rPr>
              <w:t>二</w:t>
            </w:r>
            <w:r>
              <w:rPr>
                <w:rFonts w:hint="default" w:ascii="Times New Roman" w:hAnsi="Times New Roman" w:eastAsia="宋体" w:cs="Times New Roman"/>
                <w:color w:val="auto"/>
                <w:kern w:val="2"/>
                <w:sz w:val="21"/>
                <w:szCs w:val="21"/>
                <w:vertAlign w:val="baseline"/>
                <w:lang w:val="en-US" w:eastAsia="zh-CN" w:bidi="ar-SA"/>
              </w:rPr>
              <w:t>条</w:t>
            </w:r>
          </w:p>
        </w:tc>
        <w:tc>
          <w:tcPr>
            <w:tcW w:w="1038" w:type="dxa"/>
            <w:shd w:val="clear" w:color="auto" w:fill="auto"/>
            <w:vAlign w:val="center"/>
          </w:tcPr>
          <w:p w14:paraId="308CD186">
            <w:pPr>
              <w:pStyle w:val="36"/>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查看有</w:t>
            </w:r>
          </w:p>
          <w:p w14:paraId="0405C3A5">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效文件</w:t>
            </w:r>
          </w:p>
        </w:tc>
        <w:tc>
          <w:tcPr>
            <w:tcW w:w="704" w:type="dxa"/>
            <w:shd w:val="clear" w:color="auto" w:fill="auto"/>
            <w:vAlign w:val="center"/>
          </w:tcPr>
          <w:p w14:paraId="0F52B236">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合格</w:t>
            </w:r>
          </w:p>
        </w:tc>
        <w:tc>
          <w:tcPr>
            <w:tcW w:w="681" w:type="dxa"/>
            <w:shd w:val="clear" w:color="auto" w:fill="auto"/>
            <w:vAlign w:val="center"/>
          </w:tcPr>
          <w:p w14:paraId="1966D944">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2</w:t>
            </w:r>
          </w:p>
        </w:tc>
        <w:tc>
          <w:tcPr>
            <w:tcW w:w="944" w:type="dxa"/>
            <w:shd w:val="clear" w:color="auto" w:fill="auto"/>
            <w:vAlign w:val="center"/>
          </w:tcPr>
          <w:p w14:paraId="2CA2F5D7">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缺1项扣0.5分</w:t>
            </w:r>
          </w:p>
        </w:tc>
        <w:tc>
          <w:tcPr>
            <w:tcW w:w="642" w:type="dxa"/>
            <w:shd w:val="clear" w:color="auto" w:fill="auto"/>
            <w:vAlign w:val="center"/>
          </w:tcPr>
          <w:p w14:paraId="5B3112E9">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2</w:t>
            </w:r>
          </w:p>
        </w:tc>
      </w:tr>
      <w:tr w14:paraId="7A8C35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2" w:type="dxa"/>
            <w:vMerge w:val="continue"/>
            <w:shd w:val="clear" w:color="auto" w:fill="auto"/>
            <w:vAlign w:val="center"/>
          </w:tcPr>
          <w:p w14:paraId="37B2B99B">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p>
        </w:tc>
        <w:tc>
          <w:tcPr>
            <w:tcW w:w="2623" w:type="dxa"/>
            <w:shd w:val="clear" w:color="auto" w:fill="auto"/>
            <w:vAlign w:val="center"/>
          </w:tcPr>
          <w:p w14:paraId="1ECB6188">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2.7 生产经营单位与从业人员订立劳动合同</w:t>
            </w:r>
          </w:p>
        </w:tc>
        <w:tc>
          <w:tcPr>
            <w:tcW w:w="1684" w:type="dxa"/>
            <w:shd w:val="clear" w:color="auto" w:fill="auto"/>
            <w:vAlign w:val="center"/>
          </w:tcPr>
          <w:p w14:paraId="4972E2CA">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《安全生产法》</w:t>
            </w:r>
          </w:p>
          <w:p w14:paraId="7869548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第五十二条</w:t>
            </w:r>
          </w:p>
        </w:tc>
        <w:tc>
          <w:tcPr>
            <w:tcW w:w="1038" w:type="dxa"/>
            <w:shd w:val="clear" w:color="auto" w:fill="auto"/>
            <w:vAlign w:val="center"/>
          </w:tcPr>
          <w:p w14:paraId="35D7DEEE">
            <w:pPr>
              <w:pStyle w:val="36"/>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查看有</w:t>
            </w:r>
          </w:p>
          <w:p w14:paraId="259F8FD7">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效文件</w:t>
            </w:r>
          </w:p>
        </w:tc>
        <w:tc>
          <w:tcPr>
            <w:tcW w:w="704" w:type="dxa"/>
            <w:shd w:val="clear" w:color="auto" w:fill="auto"/>
            <w:vAlign w:val="center"/>
          </w:tcPr>
          <w:p w14:paraId="507DE6AC">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val="en-US" w:eastAsia="zh-CN" w:bidi="ar-SA"/>
              </w:rPr>
              <w:t>已</w:t>
            </w:r>
            <w:r>
              <w:rPr>
                <w:rFonts w:hint="default" w:ascii="Times New Roman" w:hAnsi="Times New Roman" w:eastAsia="宋体" w:cs="Times New Roman"/>
                <w:color w:val="auto"/>
                <w:kern w:val="2"/>
                <w:sz w:val="21"/>
                <w:szCs w:val="21"/>
                <w:vertAlign w:val="baseline"/>
                <w:lang w:val="en-US" w:eastAsia="zh-CN" w:bidi="ar-SA"/>
              </w:rPr>
              <w:t>订立</w:t>
            </w:r>
          </w:p>
        </w:tc>
        <w:tc>
          <w:tcPr>
            <w:tcW w:w="681" w:type="dxa"/>
            <w:shd w:val="clear" w:color="auto" w:fill="auto"/>
            <w:vAlign w:val="center"/>
          </w:tcPr>
          <w:p w14:paraId="49CF64E8">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1</w:t>
            </w:r>
          </w:p>
        </w:tc>
        <w:tc>
          <w:tcPr>
            <w:tcW w:w="944" w:type="dxa"/>
            <w:shd w:val="clear" w:color="auto" w:fill="auto"/>
            <w:vAlign w:val="center"/>
          </w:tcPr>
          <w:p w14:paraId="63C976C7">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未签订不得分</w:t>
            </w:r>
          </w:p>
        </w:tc>
        <w:tc>
          <w:tcPr>
            <w:tcW w:w="642" w:type="dxa"/>
            <w:shd w:val="clear" w:color="auto" w:fill="auto"/>
            <w:vAlign w:val="center"/>
          </w:tcPr>
          <w:p w14:paraId="33FD91D6">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1</w:t>
            </w:r>
          </w:p>
        </w:tc>
      </w:tr>
      <w:tr w14:paraId="7BDD94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2" w:type="dxa"/>
            <w:vMerge w:val="continue"/>
            <w:shd w:val="clear" w:color="auto" w:fill="auto"/>
            <w:vAlign w:val="center"/>
          </w:tcPr>
          <w:p w14:paraId="441BCACC">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p>
        </w:tc>
        <w:tc>
          <w:tcPr>
            <w:tcW w:w="2623" w:type="dxa"/>
            <w:shd w:val="clear" w:color="auto" w:fill="auto"/>
            <w:vAlign w:val="center"/>
          </w:tcPr>
          <w:p w14:paraId="7B15A0A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2.8 落实各岗位安全生产责任制</w:t>
            </w:r>
          </w:p>
        </w:tc>
        <w:tc>
          <w:tcPr>
            <w:tcW w:w="1684" w:type="dxa"/>
            <w:shd w:val="clear" w:color="auto" w:fill="auto"/>
            <w:vAlign w:val="center"/>
          </w:tcPr>
          <w:p w14:paraId="7F80221F">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《安全生产法》</w:t>
            </w:r>
          </w:p>
          <w:p w14:paraId="130913B0">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第二十</w:t>
            </w:r>
            <w:r>
              <w:rPr>
                <w:rFonts w:hint="eastAsia" w:ascii="Times New Roman" w:hAnsi="Times New Roman" w:eastAsia="宋体" w:cs="Times New Roman"/>
                <w:color w:val="auto"/>
                <w:kern w:val="2"/>
                <w:sz w:val="21"/>
                <w:szCs w:val="21"/>
                <w:vertAlign w:val="baseline"/>
                <w:lang w:val="en-US" w:eastAsia="zh-CN" w:bidi="ar-SA"/>
              </w:rPr>
              <w:t>二</w:t>
            </w:r>
            <w:r>
              <w:rPr>
                <w:rFonts w:hint="default" w:ascii="Times New Roman" w:hAnsi="Times New Roman" w:eastAsia="宋体" w:cs="Times New Roman"/>
                <w:color w:val="auto"/>
                <w:kern w:val="2"/>
                <w:sz w:val="21"/>
                <w:szCs w:val="21"/>
                <w:vertAlign w:val="baseline"/>
                <w:lang w:val="en-US" w:eastAsia="zh-CN" w:bidi="ar-SA"/>
              </w:rPr>
              <w:t>条</w:t>
            </w:r>
          </w:p>
        </w:tc>
        <w:tc>
          <w:tcPr>
            <w:tcW w:w="1038" w:type="dxa"/>
            <w:shd w:val="clear" w:color="auto" w:fill="auto"/>
            <w:vAlign w:val="center"/>
          </w:tcPr>
          <w:p w14:paraId="47364E72">
            <w:pPr>
              <w:pStyle w:val="36"/>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查看有</w:t>
            </w:r>
          </w:p>
          <w:p w14:paraId="3563B716">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效文件</w:t>
            </w:r>
          </w:p>
        </w:tc>
        <w:tc>
          <w:tcPr>
            <w:tcW w:w="704" w:type="dxa"/>
            <w:shd w:val="clear" w:color="auto" w:fill="auto"/>
            <w:vAlign w:val="center"/>
          </w:tcPr>
          <w:p w14:paraId="261E67A4">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val="en-US" w:eastAsia="zh-CN" w:bidi="ar-SA"/>
              </w:rPr>
              <w:t>已</w:t>
            </w:r>
            <w:r>
              <w:rPr>
                <w:rFonts w:hint="default" w:ascii="Times New Roman" w:hAnsi="Times New Roman" w:eastAsia="宋体" w:cs="Times New Roman"/>
                <w:color w:val="auto"/>
                <w:kern w:val="2"/>
                <w:sz w:val="21"/>
                <w:szCs w:val="21"/>
                <w:vertAlign w:val="baseline"/>
                <w:lang w:val="en-US" w:eastAsia="zh-CN" w:bidi="ar-SA"/>
              </w:rPr>
              <w:t>落实</w:t>
            </w:r>
          </w:p>
        </w:tc>
        <w:tc>
          <w:tcPr>
            <w:tcW w:w="681" w:type="dxa"/>
            <w:shd w:val="clear" w:color="auto" w:fill="auto"/>
            <w:vAlign w:val="center"/>
          </w:tcPr>
          <w:p w14:paraId="3759C4F9">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2</w:t>
            </w:r>
          </w:p>
        </w:tc>
        <w:tc>
          <w:tcPr>
            <w:tcW w:w="944" w:type="dxa"/>
            <w:shd w:val="clear" w:color="auto" w:fill="auto"/>
            <w:vAlign w:val="center"/>
          </w:tcPr>
          <w:p w14:paraId="1DA45BF1">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未落实不得分</w:t>
            </w:r>
          </w:p>
        </w:tc>
        <w:tc>
          <w:tcPr>
            <w:tcW w:w="642" w:type="dxa"/>
            <w:shd w:val="clear" w:color="auto" w:fill="auto"/>
            <w:vAlign w:val="center"/>
          </w:tcPr>
          <w:p w14:paraId="165C038F">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2</w:t>
            </w:r>
          </w:p>
        </w:tc>
      </w:tr>
      <w:tr w14:paraId="1EBD50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2" w:type="dxa"/>
            <w:vMerge w:val="continue"/>
            <w:shd w:val="clear" w:color="auto" w:fill="auto"/>
            <w:vAlign w:val="center"/>
          </w:tcPr>
          <w:p w14:paraId="06911228">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p>
        </w:tc>
        <w:tc>
          <w:tcPr>
            <w:tcW w:w="2623" w:type="dxa"/>
            <w:shd w:val="clear" w:color="auto" w:fill="auto"/>
            <w:vAlign w:val="center"/>
          </w:tcPr>
          <w:p w14:paraId="38E02AF4">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2.9 建立下列各项安全生产规章制度：</w:t>
            </w:r>
          </w:p>
          <w:p w14:paraId="53F668A5">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2.9.1 安全检查制度；</w:t>
            </w:r>
          </w:p>
          <w:p w14:paraId="3275019D">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2.9.2 职业危害预防制度；</w:t>
            </w:r>
          </w:p>
          <w:p w14:paraId="412117FC">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2.9.3 安全教育培训制度；</w:t>
            </w:r>
          </w:p>
          <w:p w14:paraId="68C4CC86">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2.9.4 生产安全事故管理制度；</w:t>
            </w:r>
          </w:p>
          <w:p w14:paraId="0DE7D4BD">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2.9.5 重大危险源监控和安全隐患排查制度；</w:t>
            </w:r>
          </w:p>
          <w:p w14:paraId="03983AC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2.9.6 设备设施安全管理制度；</w:t>
            </w:r>
          </w:p>
          <w:p w14:paraId="285A057D">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2.9.7 安全生产档案管理制度；</w:t>
            </w:r>
          </w:p>
          <w:p w14:paraId="6D4B981F">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2.9.8 安全生产奖惩制度；</w:t>
            </w:r>
          </w:p>
          <w:p w14:paraId="428244A6">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2.9.9 安全目标管理制度；</w:t>
            </w:r>
          </w:p>
          <w:p w14:paraId="744C0B6A">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2.9.10 安全例会制度；</w:t>
            </w:r>
          </w:p>
          <w:p w14:paraId="2F3B2EC1">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2.9.11 事故隐患排查与整改制度；</w:t>
            </w:r>
          </w:p>
          <w:p w14:paraId="3DED87BE">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2.9.12 安全技术措施审批制度；</w:t>
            </w:r>
          </w:p>
          <w:p w14:paraId="6BD37840">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2.9.13 劳动防护用品管理制度；</w:t>
            </w:r>
          </w:p>
          <w:p w14:paraId="4C410DA0">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2.9.14 应急管理制度；</w:t>
            </w:r>
          </w:p>
          <w:p w14:paraId="355A2796">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2.9.15 图纸技术资料更新制度；</w:t>
            </w:r>
          </w:p>
          <w:p w14:paraId="4505691B">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val="en-US" w:eastAsia="zh-CN" w:bidi="ar-SA"/>
              </w:rPr>
              <w:t>2.7.16安全生产档案管理制度；</w:t>
            </w:r>
          </w:p>
          <w:p w14:paraId="50004F53">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2.9.1</w:t>
            </w:r>
            <w:r>
              <w:rPr>
                <w:rFonts w:hint="eastAsia" w:cs="Times New Roman"/>
                <w:color w:val="auto"/>
                <w:kern w:val="2"/>
                <w:sz w:val="21"/>
                <w:szCs w:val="21"/>
                <w:vertAlign w:val="baseline"/>
                <w:lang w:val="en-US" w:eastAsia="zh-CN" w:bidi="ar-SA"/>
              </w:rPr>
              <w:t>7</w:t>
            </w:r>
            <w:r>
              <w:rPr>
                <w:rFonts w:hint="default" w:ascii="Times New Roman" w:hAnsi="Times New Roman" w:eastAsia="宋体" w:cs="Times New Roman"/>
                <w:color w:val="auto"/>
                <w:kern w:val="2"/>
                <w:sz w:val="21"/>
                <w:szCs w:val="21"/>
                <w:vertAlign w:val="baseline"/>
                <w:lang w:val="en-US" w:eastAsia="zh-CN" w:bidi="ar-SA"/>
              </w:rPr>
              <w:t xml:space="preserve"> 安全技术措施专项经费提取和管理制度；</w:t>
            </w:r>
          </w:p>
          <w:p w14:paraId="01DD8E0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2.9.1</w:t>
            </w:r>
            <w:r>
              <w:rPr>
                <w:rFonts w:hint="eastAsia" w:cs="Times New Roman"/>
                <w:color w:val="auto"/>
                <w:kern w:val="2"/>
                <w:sz w:val="21"/>
                <w:szCs w:val="21"/>
                <w:vertAlign w:val="baseline"/>
                <w:lang w:val="en-US" w:eastAsia="zh-CN" w:bidi="ar-SA"/>
              </w:rPr>
              <w:t>8</w:t>
            </w:r>
            <w:r>
              <w:rPr>
                <w:rFonts w:hint="default" w:ascii="Times New Roman" w:hAnsi="Times New Roman" w:eastAsia="宋体" w:cs="Times New Roman"/>
                <w:color w:val="auto"/>
                <w:kern w:val="2"/>
                <w:sz w:val="21"/>
                <w:szCs w:val="21"/>
                <w:vertAlign w:val="baseline"/>
                <w:lang w:val="en-US" w:eastAsia="zh-CN" w:bidi="ar-SA"/>
              </w:rPr>
              <w:t xml:space="preserve"> 特种作业人员管理制度；</w:t>
            </w:r>
          </w:p>
          <w:p w14:paraId="76E67289">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2.9.1</w:t>
            </w:r>
            <w:r>
              <w:rPr>
                <w:rFonts w:hint="eastAsia" w:cs="Times New Roman"/>
                <w:color w:val="auto"/>
                <w:kern w:val="2"/>
                <w:sz w:val="21"/>
                <w:szCs w:val="21"/>
                <w:vertAlign w:val="baseline"/>
                <w:lang w:val="en-US" w:eastAsia="zh-CN" w:bidi="ar-SA"/>
              </w:rPr>
              <w:t>9</w:t>
            </w:r>
            <w:r>
              <w:rPr>
                <w:rFonts w:hint="default" w:ascii="Times New Roman" w:hAnsi="Times New Roman" w:eastAsia="宋体" w:cs="Times New Roman"/>
                <w:color w:val="auto"/>
                <w:kern w:val="2"/>
                <w:sz w:val="21"/>
                <w:szCs w:val="21"/>
                <w:vertAlign w:val="baseline"/>
                <w:lang w:val="en-US" w:eastAsia="zh-CN" w:bidi="ar-SA"/>
              </w:rPr>
              <w:t xml:space="preserve"> 露天边坡管理制；</w:t>
            </w:r>
          </w:p>
          <w:p w14:paraId="083549C1">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2.9.</w:t>
            </w:r>
            <w:r>
              <w:rPr>
                <w:rFonts w:hint="eastAsia" w:cs="Times New Roman"/>
                <w:color w:val="auto"/>
                <w:kern w:val="2"/>
                <w:sz w:val="21"/>
                <w:szCs w:val="21"/>
                <w:vertAlign w:val="baseline"/>
                <w:lang w:val="en-US" w:eastAsia="zh-CN" w:bidi="ar-SA"/>
              </w:rPr>
              <w:t>20</w:t>
            </w:r>
            <w:r>
              <w:rPr>
                <w:rFonts w:hint="default" w:ascii="Times New Roman" w:hAnsi="Times New Roman" w:eastAsia="宋体" w:cs="Times New Roman"/>
                <w:color w:val="auto"/>
                <w:kern w:val="2"/>
                <w:sz w:val="21"/>
                <w:szCs w:val="21"/>
                <w:vertAlign w:val="baseline"/>
                <w:lang w:val="en-US" w:eastAsia="zh-CN" w:bidi="ar-SA"/>
              </w:rPr>
              <w:t xml:space="preserve"> 排土场</w:t>
            </w:r>
            <w:r>
              <w:rPr>
                <w:rFonts w:hint="eastAsia" w:cs="Times New Roman"/>
                <w:color w:val="auto"/>
                <w:kern w:val="2"/>
                <w:sz w:val="21"/>
                <w:szCs w:val="21"/>
                <w:vertAlign w:val="baseline"/>
                <w:lang w:val="en-US" w:eastAsia="zh-CN" w:bidi="ar-SA"/>
              </w:rPr>
              <w:t>（</w:t>
            </w:r>
            <w:r>
              <w:rPr>
                <w:rFonts w:hint="default" w:ascii="Times New Roman" w:hAnsi="Times New Roman" w:eastAsia="宋体" w:cs="Times New Roman"/>
                <w:color w:val="auto"/>
                <w:kern w:val="2"/>
                <w:sz w:val="21"/>
                <w:szCs w:val="21"/>
                <w:vertAlign w:val="baseline"/>
                <w:lang w:val="en-US" w:eastAsia="zh-CN" w:bidi="ar-SA"/>
              </w:rPr>
              <w:t>废石场</w:t>
            </w:r>
            <w:r>
              <w:rPr>
                <w:rFonts w:hint="eastAsia" w:cs="Times New Roman"/>
                <w:color w:val="auto"/>
                <w:kern w:val="2"/>
                <w:sz w:val="21"/>
                <w:szCs w:val="21"/>
                <w:vertAlign w:val="baseline"/>
                <w:lang w:val="en-US" w:eastAsia="zh-CN" w:bidi="ar-SA"/>
              </w:rPr>
              <w:t>）</w:t>
            </w:r>
            <w:r>
              <w:rPr>
                <w:rFonts w:hint="default" w:ascii="Times New Roman" w:hAnsi="Times New Roman" w:eastAsia="宋体" w:cs="Times New Roman"/>
                <w:color w:val="auto"/>
                <w:kern w:val="2"/>
                <w:sz w:val="21"/>
                <w:szCs w:val="21"/>
                <w:vertAlign w:val="baseline"/>
                <w:lang w:val="en-US" w:eastAsia="zh-CN" w:bidi="ar-SA"/>
              </w:rPr>
              <w:t>管理制度。</w:t>
            </w:r>
          </w:p>
        </w:tc>
        <w:tc>
          <w:tcPr>
            <w:tcW w:w="1684" w:type="dxa"/>
            <w:shd w:val="clear" w:color="auto" w:fill="auto"/>
            <w:vAlign w:val="center"/>
          </w:tcPr>
          <w:p w14:paraId="7D167785">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安监总局令第20号第六条</w:t>
            </w:r>
          </w:p>
        </w:tc>
        <w:tc>
          <w:tcPr>
            <w:tcW w:w="1038" w:type="dxa"/>
            <w:shd w:val="clear" w:color="auto" w:fill="auto"/>
            <w:vAlign w:val="center"/>
          </w:tcPr>
          <w:p w14:paraId="5033C58D">
            <w:pPr>
              <w:pStyle w:val="36"/>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查看有</w:t>
            </w:r>
          </w:p>
          <w:p w14:paraId="457ED5B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效文件</w:t>
            </w:r>
          </w:p>
        </w:tc>
        <w:tc>
          <w:tcPr>
            <w:tcW w:w="704" w:type="dxa"/>
            <w:shd w:val="clear" w:color="auto" w:fill="auto"/>
            <w:vAlign w:val="center"/>
          </w:tcPr>
          <w:p w14:paraId="70C3A8A1">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未见2.9.14、2.9.15、2.9.17、2.9.18相关制</w:t>
            </w:r>
          </w:p>
          <w:p w14:paraId="0A512198">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度，不涉及排土场</w:t>
            </w:r>
          </w:p>
        </w:tc>
        <w:tc>
          <w:tcPr>
            <w:tcW w:w="681" w:type="dxa"/>
            <w:shd w:val="clear" w:color="auto" w:fill="auto"/>
            <w:vAlign w:val="center"/>
          </w:tcPr>
          <w:p w14:paraId="008F2F4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50</w:t>
            </w:r>
          </w:p>
        </w:tc>
        <w:tc>
          <w:tcPr>
            <w:tcW w:w="944" w:type="dxa"/>
            <w:shd w:val="clear" w:color="auto" w:fill="auto"/>
            <w:vAlign w:val="center"/>
          </w:tcPr>
          <w:p w14:paraId="766776E3">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val="en-US" w:eastAsia="zh-CN" w:bidi="ar-SA"/>
              </w:rPr>
              <w:t>每缺1项</w:t>
            </w:r>
          </w:p>
          <w:p w14:paraId="0DD573F9">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val="en-US" w:eastAsia="zh-CN" w:bidi="ar-SA"/>
              </w:rPr>
              <w:t>扣2.5分</w:t>
            </w:r>
          </w:p>
          <w:p w14:paraId="45AAB4D4">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val="en-US" w:eastAsia="zh-CN" w:bidi="ar-SA"/>
              </w:rPr>
              <w:t>不完善项扣1分</w:t>
            </w:r>
          </w:p>
        </w:tc>
        <w:tc>
          <w:tcPr>
            <w:tcW w:w="642" w:type="dxa"/>
            <w:shd w:val="clear" w:color="auto" w:fill="auto"/>
            <w:vAlign w:val="center"/>
          </w:tcPr>
          <w:p w14:paraId="616C11A8">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40</w:t>
            </w:r>
          </w:p>
        </w:tc>
      </w:tr>
      <w:tr w14:paraId="108F51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2" w:type="dxa"/>
            <w:vMerge w:val="continue"/>
            <w:shd w:val="clear" w:color="auto" w:fill="auto"/>
            <w:vAlign w:val="center"/>
          </w:tcPr>
          <w:p w14:paraId="3CD8D8B8">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p>
        </w:tc>
        <w:tc>
          <w:tcPr>
            <w:tcW w:w="2623" w:type="dxa"/>
            <w:shd w:val="clear" w:color="auto" w:fill="auto"/>
            <w:vAlign w:val="center"/>
          </w:tcPr>
          <w:p w14:paraId="7D97F543">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2.10 制定作业安全规程和各工种操作规程</w:t>
            </w:r>
          </w:p>
        </w:tc>
        <w:tc>
          <w:tcPr>
            <w:tcW w:w="1684" w:type="dxa"/>
            <w:shd w:val="clear" w:color="auto" w:fill="auto"/>
            <w:vAlign w:val="center"/>
          </w:tcPr>
          <w:p w14:paraId="36FD1691">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安监总局令第20号第六条</w:t>
            </w:r>
          </w:p>
        </w:tc>
        <w:tc>
          <w:tcPr>
            <w:tcW w:w="1038" w:type="dxa"/>
            <w:shd w:val="clear" w:color="auto" w:fill="auto"/>
            <w:vAlign w:val="center"/>
          </w:tcPr>
          <w:p w14:paraId="4EA7B433">
            <w:pPr>
              <w:pStyle w:val="36"/>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查看有</w:t>
            </w:r>
          </w:p>
          <w:p w14:paraId="6D51EC0E">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效文件</w:t>
            </w:r>
          </w:p>
        </w:tc>
        <w:tc>
          <w:tcPr>
            <w:tcW w:w="704" w:type="dxa"/>
            <w:shd w:val="clear" w:color="auto" w:fill="auto"/>
            <w:vAlign w:val="center"/>
          </w:tcPr>
          <w:p w14:paraId="3FAFF814">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已</w:t>
            </w:r>
            <w:r>
              <w:rPr>
                <w:rFonts w:hint="default" w:ascii="Times New Roman" w:hAnsi="Times New Roman" w:eastAsia="宋体" w:cs="Times New Roman"/>
                <w:color w:val="auto"/>
                <w:kern w:val="2"/>
                <w:sz w:val="21"/>
                <w:szCs w:val="21"/>
                <w:vertAlign w:val="baseline"/>
                <w:lang w:val="en-US" w:eastAsia="zh-CN" w:bidi="ar-SA"/>
              </w:rPr>
              <w:t>制定</w:t>
            </w:r>
          </w:p>
        </w:tc>
        <w:tc>
          <w:tcPr>
            <w:tcW w:w="681" w:type="dxa"/>
            <w:shd w:val="clear" w:color="auto" w:fill="auto"/>
            <w:vAlign w:val="center"/>
          </w:tcPr>
          <w:p w14:paraId="68ED1CC4">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2</w:t>
            </w:r>
          </w:p>
        </w:tc>
        <w:tc>
          <w:tcPr>
            <w:tcW w:w="944" w:type="dxa"/>
            <w:shd w:val="clear" w:color="auto" w:fill="auto"/>
            <w:vAlign w:val="center"/>
          </w:tcPr>
          <w:p w14:paraId="5C3D3D5A">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未制定不得分</w:t>
            </w:r>
          </w:p>
        </w:tc>
        <w:tc>
          <w:tcPr>
            <w:tcW w:w="642" w:type="dxa"/>
            <w:shd w:val="clear" w:color="auto" w:fill="auto"/>
            <w:vAlign w:val="center"/>
          </w:tcPr>
          <w:p w14:paraId="68D7F560">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2</w:t>
            </w:r>
          </w:p>
        </w:tc>
      </w:tr>
      <w:tr w14:paraId="301D01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2" w:type="dxa"/>
            <w:shd w:val="clear" w:color="auto" w:fill="auto"/>
            <w:vAlign w:val="center"/>
          </w:tcPr>
          <w:p w14:paraId="097E182C">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val="en-US" w:eastAsia="zh-CN" w:bidi="ar-SA"/>
              </w:rPr>
              <w:t>3</w:t>
            </w:r>
            <w:r>
              <w:rPr>
                <w:rFonts w:hint="eastAsia"/>
                <w:color w:val="auto"/>
                <w:sz w:val="21"/>
                <w:szCs w:val="21"/>
                <w:vertAlign w:val="baseline"/>
                <w:lang w:val="en-US" w:eastAsia="zh-CN"/>
              </w:rPr>
              <w:t xml:space="preserve">. </w:t>
            </w:r>
            <w:r>
              <w:rPr>
                <w:rFonts w:hint="default" w:ascii="Times New Roman" w:hAnsi="Times New Roman" w:eastAsia="宋体" w:cs="Times New Roman"/>
                <w:color w:val="auto"/>
                <w:kern w:val="2"/>
                <w:sz w:val="21"/>
                <w:szCs w:val="21"/>
                <w:vertAlign w:val="baseline"/>
                <w:lang w:val="en-US" w:eastAsia="zh-CN" w:bidi="ar-SA"/>
              </w:rPr>
              <w:t>安全生产教育培训</w:t>
            </w:r>
          </w:p>
        </w:tc>
        <w:tc>
          <w:tcPr>
            <w:tcW w:w="2623" w:type="dxa"/>
            <w:shd w:val="clear" w:color="auto" w:fill="auto"/>
            <w:vAlign w:val="center"/>
          </w:tcPr>
          <w:p w14:paraId="1813D5FD">
            <w:pPr>
              <w:pStyle w:val="3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3.1 所有从业人员应经</w:t>
            </w:r>
            <w:r>
              <w:rPr>
                <w:rFonts w:hint="eastAsia" w:ascii="Times New Roman" w:hAnsi="Times New Roman" w:eastAsia="宋体" w:cs="Times New Roman"/>
                <w:color w:val="auto"/>
                <w:kern w:val="2"/>
                <w:sz w:val="21"/>
                <w:szCs w:val="21"/>
                <w:vertAlign w:val="baseline"/>
                <w:lang w:val="en-US" w:eastAsia="zh-CN" w:bidi="ar-SA"/>
              </w:rPr>
              <w:t>“</w:t>
            </w:r>
            <w:r>
              <w:rPr>
                <w:rFonts w:hint="default" w:ascii="Times New Roman" w:hAnsi="Times New Roman" w:eastAsia="宋体" w:cs="Times New Roman"/>
                <w:color w:val="auto"/>
                <w:kern w:val="2"/>
                <w:sz w:val="21"/>
                <w:szCs w:val="21"/>
                <w:vertAlign w:val="baseline"/>
                <w:lang w:val="en-US" w:eastAsia="zh-CN" w:bidi="ar-SA"/>
              </w:rPr>
              <w:t>三级</w:t>
            </w:r>
            <w:r>
              <w:rPr>
                <w:rFonts w:hint="eastAsia" w:ascii="Times New Roman" w:hAnsi="Times New Roman" w:eastAsia="宋体" w:cs="Times New Roman"/>
                <w:color w:val="auto"/>
                <w:kern w:val="2"/>
                <w:sz w:val="21"/>
                <w:szCs w:val="21"/>
                <w:vertAlign w:val="baseline"/>
                <w:lang w:val="en-US" w:eastAsia="zh-CN" w:bidi="ar-SA"/>
              </w:rPr>
              <w:t>”</w:t>
            </w:r>
            <w:r>
              <w:rPr>
                <w:rFonts w:hint="default" w:ascii="Times New Roman" w:hAnsi="Times New Roman" w:eastAsia="宋体" w:cs="Times New Roman"/>
                <w:color w:val="auto"/>
                <w:kern w:val="2"/>
                <w:sz w:val="21"/>
                <w:szCs w:val="21"/>
                <w:vertAlign w:val="baseline"/>
                <w:lang w:val="en-US" w:eastAsia="zh-CN" w:bidi="ar-SA"/>
              </w:rPr>
              <w:t>安全教育，并经考核合格后，方可上岗作业。露天作业新员工上岗前不少于72学时；</w:t>
            </w:r>
          </w:p>
          <w:p w14:paraId="4ED7CE08">
            <w:pPr>
              <w:pStyle w:val="3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default" w:ascii="Times New Roman" w:hAnsi="Times New Roman" w:eastAsia="宋体" w:cs="Times New Roman"/>
                <w:color w:val="auto"/>
                <w:spacing w:val="-6"/>
                <w:kern w:val="2"/>
                <w:sz w:val="21"/>
                <w:szCs w:val="21"/>
                <w:vertAlign w:val="baseline"/>
                <w:lang w:val="en-US" w:eastAsia="zh-CN" w:bidi="ar-SA"/>
              </w:rPr>
            </w:pPr>
            <w:r>
              <w:rPr>
                <w:rFonts w:hint="default" w:ascii="Times New Roman" w:hAnsi="Times New Roman" w:eastAsia="宋体" w:cs="Times New Roman"/>
                <w:color w:val="auto"/>
                <w:spacing w:val="-6"/>
                <w:kern w:val="2"/>
                <w:sz w:val="21"/>
                <w:szCs w:val="21"/>
                <w:vertAlign w:val="baseline"/>
                <w:lang w:val="en-US" w:eastAsia="zh-CN" w:bidi="ar-SA"/>
              </w:rPr>
              <w:t>3.2 矿山主要负责人具备安全生产知识和管理能力；</w:t>
            </w:r>
          </w:p>
          <w:p w14:paraId="5F0414F7">
            <w:pPr>
              <w:pStyle w:val="3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3.3 专职安全管理人员的具备相应安全生产知识和管理能力；</w:t>
            </w:r>
          </w:p>
          <w:p w14:paraId="68C6667C">
            <w:pPr>
              <w:pStyle w:val="3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3.4 调换工程或岗位的人员，应进行新工种、岗位上岗前的安全操作培训；</w:t>
            </w:r>
          </w:p>
          <w:p w14:paraId="09A95104">
            <w:pPr>
              <w:pStyle w:val="3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3.5 采用新技术、新工艺、新材料和新设备的人员应进行相应安全知识、操作技能培训合格后方能上岗作业；</w:t>
            </w:r>
          </w:p>
          <w:p w14:paraId="39E38018">
            <w:pPr>
              <w:pStyle w:val="3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3.6 定期组织实施全员安全再教育，每年不少于20学时。开展班组安全活动，并建立记录；</w:t>
            </w:r>
          </w:p>
          <w:p w14:paraId="1BB08EDD">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3.7 作业人员的安全教育培训和考核结果应有记录，并存档</w:t>
            </w:r>
            <w:r>
              <w:rPr>
                <w:rFonts w:hint="eastAsia" w:ascii="Times New Roman" w:hAnsi="Times New Roman" w:eastAsia="宋体" w:cs="Times New Roman"/>
                <w:color w:val="auto"/>
                <w:kern w:val="2"/>
                <w:sz w:val="21"/>
                <w:szCs w:val="21"/>
                <w:vertAlign w:val="baseline"/>
                <w:lang w:val="en-US" w:eastAsia="zh-CN" w:bidi="ar-SA"/>
              </w:rPr>
              <w:t>。</w:t>
            </w:r>
          </w:p>
        </w:tc>
        <w:tc>
          <w:tcPr>
            <w:tcW w:w="1684" w:type="dxa"/>
            <w:shd w:val="clear" w:color="auto" w:fill="auto"/>
            <w:vAlign w:val="center"/>
          </w:tcPr>
          <w:p w14:paraId="6AFDA420">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《安全生产法》</w:t>
            </w:r>
          </w:p>
          <w:p w14:paraId="3B468D9F">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第二十七条</w:t>
            </w:r>
          </w:p>
          <w:p w14:paraId="2CD350A7">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GB16423-2020</w:t>
            </w:r>
          </w:p>
          <w:p w14:paraId="267138B6">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第4.5条</w:t>
            </w:r>
          </w:p>
        </w:tc>
        <w:tc>
          <w:tcPr>
            <w:tcW w:w="1038" w:type="dxa"/>
            <w:shd w:val="clear" w:color="auto" w:fill="auto"/>
            <w:vAlign w:val="center"/>
          </w:tcPr>
          <w:p w14:paraId="75A49836">
            <w:pPr>
              <w:pStyle w:val="36"/>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查看有</w:t>
            </w:r>
          </w:p>
          <w:p w14:paraId="4F486586">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效文件</w:t>
            </w:r>
          </w:p>
        </w:tc>
        <w:tc>
          <w:tcPr>
            <w:tcW w:w="704" w:type="dxa"/>
            <w:shd w:val="clear" w:color="auto" w:fill="auto"/>
            <w:vAlign w:val="center"/>
          </w:tcPr>
          <w:p w14:paraId="2C50616A">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有</w:t>
            </w:r>
          </w:p>
        </w:tc>
        <w:tc>
          <w:tcPr>
            <w:tcW w:w="681" w:type="dxa"/>
            <w:shd w:val="clear" w:color="auto" w:fill="auto"/>
            <w:vAlign w:val="center"/>
          </w:tcPr>
          <w:p w14:paraId="253C2536">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14</w:t>
            </w:r>
          </w:p>
        </w:tc>
        <w:tc>
          <w:tcPr>
            <w:tcW w:w="944" w:type="dxa"/>
            <w:shd w:val="clear" w:color="auto" w:fill="auto"/>
            <w:vAlign w:val="center"/>
          </w:tcPr>
          <w:p w14:paraId="3D68742A">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1项未做</w:t>
            </w:r>
          </w:p>
          <w:p w14:paraId="05AF1AD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到扣2分</w:t>
            </w:r>
          </w:p>
        </w:tc>
        <w:tc>
          <w:tcPr>
            <w:tcW w:w="642" w:type="dxa"/>
            <w:shd w:val="clear" w:color="auto" w:fill="auto"/>
            <w:vAlign w:val="center"/>
          </w:tcPr>
          <w:p w14:paraId="38E6D8B1">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14</w:t>
            </w:r>
          </w:p>
        </w:tc>
      </w:tr>
      <w:tr w14:paraId="7E43FF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6" w:hRule="atLeast"/>
          <w:jc w:val="center"/>
        </w:trPr>
        <w:tc>
          <w:tcPr>
            <w:tcW w:w="972" w:type="dxa"/>
            <w:vMerge w:val="restart"/>
            <w:shd w:val="clear" w:color="auto" w:fill="auto"/>
            <w:vAlign w:val="center"/>
          </w:tcPr>
          <w:p w14:paraId="10C88017">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4. 安全检查</w:t>
            </w:r>
          </w:p>
        </w:tc>
        <w:tc>
          <w:tcPr>
            <w:tcW w:w="2623" w:type="dxa"/>
            <w:shd w:val="clear" w:color="auto" w:fill="auto"/>
            <w:vAlign w:val="center"/>
          </w:tcPr>
          <w:p w14:paraId="253D062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4.1 生产经营单位应当对安全生产状况进行经常性检查；</w:t>
            </w:r>
          </w:p>
          <w:p w14:paraId="55102F89">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4.2 对检查中发现的事故隐患等安全问题，应当立即处理；</w:t>
            </w:r>
          </w:p>
          <w:p w14:paraId="0721FD17">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4.3 检查及处理情况应当如实记录在案。</w:t>
            </w:r>
          </w:p>
        </w:tc>
        <w:tc>
          <w:tcPr>
            <w:tcW w:w="1684" w:type="dxa"/>
            <w:shd w:val="clear" w:color="auto" w:fill="auto"/>
            <w:vAlign w:val="center"/>
          </w:tcPr>
          <w:p w14:paraId="32BB7E4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《安全生产法》</w:t>
            </w:r>
          </w:p>
          <w:p w14:paraId="3063C80F">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第四十六条</w:t>
            </w:r>
          </w:p>
        </w:tc>
        <w:tc>
          <w:tcPr>
            <w:tcW w:w="1038" w:type="dxa"/>
            <w:shd w:val="clear" w:color="auto" w:fill="auto"/>
            <w:vAlign w:val="center"/>
          </w:tcPr>
          <w:p w14:paraId="58B7E289">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查看检</w:t>
            </w:r>
          </w:p>
          <w:p w14:paraId="3780A7DF">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查及处</w:t>
            </w:r>
          </w:p>
          <w:p w14:paraId="6C86BDCA">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理情况记录</w:t>
            </w:r>
          </w:p>
        </w:tc>
        <w:tc>
          <w:tcPr>
            <w:tcW w:w="704" w:type="dxa"/>
            <w:shd w:val="clear" w:color="auto" w:fill="auto"/>
            <w:vAlign w:val="center"/>
          </w:tcPr>
          <w:p w14:paraId="4BAB84C0">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符合</w:t>
            </w:r>
          </w:p>
        </w:tc>
        <w:tc>
          <w:tcPr>
            <w:tcW w:w="681" w:type="dxa"/>
            <w:shd w:val="clear" w:color="auto" w:fill="auto"/>
            <w:vAlign w:val="center"/>
          </w:tcPr>
          <w:p w14:paraId="62B6D8C1">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6</w:t>
            </w:r>
          </w:p>
        </w:tc>
        <w:tc>
          <w:tcPr>
            <w:tcW w:w="944" w:type="dxa"/>
            <w:shd w:val="clear" w:color="auto" w:fill="auto"/>
            <w:vAlign w:val="center"/>
          </w:tcPr>
          <w:p w14:paraId="04D0329C">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1项未做到扣2分</w:t>
            </w:r>
          </w:p>
        </w:tc>
        <w:tc>
          <w:tcPr>
            <w:tcW w:w="642" w:type="dxa"/>
            <w:shd w:val="clear" w:color="auto" w:fill="auto"/>
            <w:vAlign w:val="center"/>
          </w:tcPr>
          <w:p w14:paraId="7084826D">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6</w:t>
            </w:r>
          </w:p>
        </w:tc>
      </w:tr>
      <w:tr w14:paraId="47C1C9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0" w:hRule="atLeast"/>
          <w:jc w:val="center"/>
        </w:trPr>
        <w:tc>
          <w:tcPr>
            <w:tcW w:w="972" w:type="dxa"/>
            <w:vMerge w:val="continue"/>
            <w:shd w:val="clear" w:color="auto" w:fill="auto"/>
            <w:vAlign w:val="center"/>
          </w:tcPr>
          <w:p w14:paraId="23631E50">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p>
        </w:tc>
        <w:tc>
          <w:tcPr>
            <w:tcW w:w="2623" w:type="dxa"/>
            <w:shd w:val="clear" w:color="auto" w:fill="auto"/>
            <w:vAlign w:val="center"/>
          </w:tcPr>
          <w:p w14:paraId="52B66E3F">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4.4 生产经营单位应当建立安全风险分级管控制度，按照安全风险分级采取相应的管控措施。</w:t>
            </w:r>
          </w:p>
        </w:tc>
        <w:tc>
          <w:tcPr>
            <w:tcW w:w="1684" w:type="dxa"/>
            <w:shd w:val="clear" w:color="auto" w:fill="auto"/>
            <w:vAlign w:val="center"/>
          </w:tcPr>
          <w:p w14:paraId="7CF71D91">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《安全生产法》</w:t>
            </w:r>
          </w:p>
          <w:p w14:paraId="50024001">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第四十</w:t>
            </w:r>
            <w:r>
              <w:rPr>
                <w:rFonts w:hint="eastAsia" w:ascii="Times New Roman" w:hAnsi="Times New Roman" w:eastAsia="宋体" w:cs="Times New Roman"/>
                <w:color w:val="auto"/>
                <w:kern w:val="2"/>
                <w:sz w:val="21"/>
                <w:szCs w:val="21"/>
                <w:vertAlign w:val="baseline"/>
                <w:lang w:val="en-US" w:eastAsia="zh-CN" w:bidi="ar-SA"/>
              </w:rPr>
              <w:t>一</w:t>
            </w:r>
            <w:r>
              <w:rPr>
                <w:rFonts w:hint="default" w:ascii="Times New Roman" w:hAnsi="Times New Roman" w:eastAsia="宋体" w:cs="Times New Roman"/>
                <w:color w:val="auto"/>
                <w:kern w:val="2"/>
                <w:sz w:val="21"/>
                <w:szCs w:val="21"/>
                <w:vertAlign w:val="baseline"/>
                <w:lang w:val="en-US" w:eastAsia="zh-CN" w:bidi="ar-SA"/>
              </w:rPr>
              <w:t>条</w:t>
            </w:r>
          </w:p>
        </w:tc>
        <w:tc>
          <w:tcPr>
            <w:tcW w:w="1038" w:type="dxa"/>
            <w:shd w:val="clear" w:color="auto" w:fill="auto"/>
            <w:vAlign w:val="center"/>
          </w:tcPr>
          <w:p w14:paraId="11D03236">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查看有</w:t>
            </w:r>
          </w:p>
          <w:p w14:paraId="64D30AB8">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效文件</w:t>
            </w:r>
          </w:p>
        </w:tc>
        <w:tc>
          <w:tcPr>
            <w:tcW w:w="704" w:type="dxa"/>
            <w:shd w:val="clear" w:color="auto" w:fill="auto"/>
            <w:vAlign w:val="center"/>
          </w:tcPr>
          <w:p w14:paraId="53B6C714">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符合</w:t>
            </w:r>
          </w:p>
        </w:tc>
        <w:tc>
          <w:tcPr>
            <w:tcW w:w="681" w:type="dxa"/>
            <w:shd w:val="clear" w:color="auto" w:fill="auto"/>
            <w:vAlign w:val="center"/>
          </w:tcPr>
          <w:p w14:paraId="7723AFAF">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2</w:t>
            </w:r>
          </w:p>
        </w:tc>
        <w:tc>
          <w:tcPr>
            <w:tcW w:w="944" w:type="dxa"/>
            <w:shd w:val="clear" w:color="auto" w:fill="auto"/>
            <w:vAlign w:val="center"/>
          </w:tcPr>
          <w:p w14:paraId="7DD6CE1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不符合不得分</w:t>
            </w:r>
          </w:p>
        </w:tc>
        <w:tc>
          <w:tcPr>
            <w:tcW w:w="642" w:type="dxa"/>
            <w:shd w:val="clear" w:color="auto" w:fill="auto"/>
            <w:vAlign w:val="center"/>
          </w:tcPr>
          <w:p w14:paraId="30FCC30B">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2</w:t>
            </w:r>
          </w:p>
        </w:tc>
      </w:tr>
      <w:tr w14:paraId="4C30AB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0" w:hRule="atLeast"/>
          <w:jc w:val="center"/>
        </w:trPr>
        <w:tc>
          <w:tcPr>
            <w:tcW w:w="972" w:type="dxa"/>
            <w:shd w:val="clear" w:color="auto" w:fill="auto"/>
            <w:vAlign w:val="center"/>
          </w:tcPr>
          <w:p w14:paraId="35D37F7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5. 安全投入</w:t>
            </w:r>
          </w:p>
        </w:tc>
        <w:tc>
          <w:tcPr>
            <w:tcW w:w="2623" w:type="dxa"/>
            <w:shd w:val="clear" w:color="auto" w:fill="auto"/>
            <w:vAlign w:val="center"/>
          </w:tcPr>
          <w:p w14:paraId="6D1A3151">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5.1 提取安全技术措施经费投入符合安全生产要求。</w:t>
            </w:r>
          </w:p>
          <w:p w14:paraId="33BB6CBD">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5.2 是否有保证安全生产投入的证明文件。</w:t>
            </w:r>
          </w:p>
          <w:p w14:paraId="37C800E7">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5.3 有安全投入使用计划。</w:t>
            </w:r>
          </w:p>
          <w:p w14:paraId="1AE5A5F8">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5.4 有投入购置安全设施设备等实物发票。</w:t>
            </w:r>
          </w:p>
        </w:tc>
        <w:tc>
          <w:tcPr>
            <w:tcW w:w="1684" w:type="dxa"/>
            <w:shd w:val="clear" w:color="auto" w:fill="auto"/>
            <w:vAlign w:val="center"/>
          </w:tcPr>
          <w:p w14:paraId="661953A5">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《安全生产法》</w:t>
            </w:r>
          </w:p>
          <w:p w14:paraId="0B83259C">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第</w:t>
            </w:r>
            <w:r>
              <w:rPr>
                <w:rFonts w:hint="eastAsia" w:ascii="Times New Roman" w:hAnsi="Times New Roman" w:eastAsia="宋体" w:cs="Times New Roman"/>
                <w:color w:val="auto"/>
                <w:kern w:val="2"/>
                <w:sz w:val="21"/>
                <w:szCs w:val="21"/>
                <w:vertAlign w:val="baseline"/>
                <w:lang w:val="en-US" w:eastAsia="zh-CN" w:bidi="ar-SA"/>
              </w:rPr>
              <w:t>二十三</w:t>
            </w:r>
            <w:r>
              <w:rPr>
                <w:rFonts w:hint="default" w:ascii="Times New Roman" w:hAnsi="Times New Roman" w:eastAsia="宋体" w:cs="Times New Roman"/>
                <w:color w:val="auto"/>
                <w:kern w:val="2"/>
                <w:sz w:val="21"/>
                <w:szCs w:val="21"/>
                <w:vertAlign w:val="baseline"/>
                <w:lang w:val="en-US" w:eastAsia="zh-CN" w:bidi="ar-SA"/>
              </w:rPr>
              <w:t>条</w:t>
            </w:r>
          </w:p>
        </w:tc>
        <w:tc>
          <w:tcPr>
            <w:tcW w:w="1038" w:type="dxa"/>
            <w:shd w:val="clear" w:color="auto" w:fill="auto"/>
            <w:vAlign w:val="center"/>
          </w:tcPr>
          <w:p w14:paraId="070D765D">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查看有</w:t>
            </w:r>
          </w:p>
          <w:p w14:paraId="386113D5">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效文件</w:t>
            </w:r>
          </w:p>
        </w:tc>
        <w:tc>
          <w:tcPr>
            <w:tcW w:w="704" w:type="dxa"/>
            <w:shd w:val="clear" w:color="auto" w:fill="auto"/>
            <w:vAlign w:val="center"/>
          </w:tcPr>
          <w:p w14:paraId="3DDE92C1">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未见</w:t>
            </w:r>
            <w:r>
              <w:rPr>
                <w:rFonts w:hint="default" w:ascii="Times New Roman" w:hAnsi="Times New Roman" w:eastAsia="宋体" w:cs="Times New Roman"/>
                <w:color w:val="auto"/>
                <w:kern w:val="2"/>
                <w:sz w:val="21"/>
                <w:szCs w:val="21"/>
                <w:vertAlign w:val="baseline"/>
                <w:lang w:val="en-US" w:eastAsia="zh-CN" w:bidi="ar-SA"/>
              </w:rPr>
              <w:t>实物</w:t>
            </w:r>
            <w:r>
              <w:rPr>
                <w:rFonts w:hint="eastAsia" w:cs="Times New Roman"/>
                <w:color w:val="auto"/>
                <w:kern w:val="2"/>
                <w:sz w:val="21"/>
                <w:szCs w:val="21"/>
                <w:vertAlign w:val="baseline"/>
                <w:lang w:val="en-US" w:eastAsia="zh-CN" w:bidi="ar-SA"/>
              </w:rPr>
              <w:t>发票</w:t>
            </w:r>
          </w:p>
        </w:tc>
        <w:tc>
          <w:tcPr>
            <w:tcW w:w="681" w:type="dxa"/>
            <w:shd w:val="clear" w:color="auto" w:fill="auto"/>
            <w:vAlign w:val="center"/>
          </w:tcPr>
          <w:p w14:paraId="010D3A95">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8</w:t>
            </w:r>
          </w:p>
        </w:tc>
        <w:tc>
          <w:tcPr>
            <w:tcW w:w="944" w:type="dxa"/>
            <w:shd w:val="clear" w:color="auto" w:fill="auto"/>
            <w:vAlign w:val="center"/>
          </w:tcPr>
          <w:p w14:paraId="6E422D93">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1项未做到扣2分</w:t>
            </w:r>
          </w:p>
        </w:tc>
        <w:tc>
          <w:tcPr>
            <w:tcW w:w="642" w:type="dxa"/>
            <w:shd w:val="clear" w:color="auto" w:fill="auto"/>
            <w:vAlign w:val="center"/>
          </w:tcPr>
          <w:p w14:paraId="1C960106">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6</w:t>
            </w:r>
          </w:p>
        </w:tc>
      </w:tr>
      <w:tr w14:paraId="555EF4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8" w:hRule="atLeast"/>
          <w:jc w:val="center"/>
        </w:trPr>
        <w:tc>
          <w:tcPr>
            <w:tcW w:w="972" w:type="dxa"/>
            <w:shd w:val="clear" w:color="auto" w:fill="auto"/>
            <w:vAlign w:val="center"/>
          </w:tcPr>
          <w:p w14:paraId="2C431CF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6. 保险</w:t>
            </w:r>
          </w:p>
        </w:tc>
        <w:tc>
          <w:tcPr>
            <w:tcW w:w="2623" w:type="dxa"/>
            <w:shd w:val="clear" w:color="auto" w:fill="auto"/>
            <w:vAlign w:val="center"/>
          </w:tcPr>
          <w:p w14:paraId="0D8B906E">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6.1 依法为员工缴纳工伤保险；</w:t>
            </w:r>
          </w:p>
          <w:p w14:paraId="4F79147E">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6.2 为员工投保安全生产责任保险。</w:t>
            </w:r>
          </w:p>
          <w:p w14:paraId="718DBE1C">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6.3 保险人数与从事矿山管理、生产的实际人数相符。</w:t>
            </w:r>
          </w:p>
        </w:tc>
        <w:tc>
          <w:tcPr>
            <w:tcW w:w="1684" w:type="dxa"/>
            <w:shd w:val="clear" w:color="auto" w:fill="auto"/>
            <w:vAlign w:val="center"/>
          </w:tcPr>
          <w:p w14:paraId="44B7AC43">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《安全生产法》</w:t>
            </w:r>
          </w:p>
          <w:p w14:paraId="2E6D39A7">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第</w:t>
            </w:r>
            <w:r>
              <w:rPr>
                <w:rFonts w:hint="eastAsia" w:ascii="Times New Roman" w:hAnsi="Times New Roman" w:eastAsia="宋体" w:cs="Times New Roman"/>
                <w:color w:val="auto"/>
                <w:kern w:val="2"/>
                <w:sz w:val="21"/>
                <w:szCs w:val="21"/>
                <w:vertAlign w:val="baseline"/>
                <w:lang w:val="en-US" w:eastAsia="zh-CN" w:bidi="ar-SA"/>
              </w:rPr>
              <w:t>五十一</w:t>
            </w:r>
            <w:r>
              <w:rPr>
                <w:rFonts w:hint="default" w:ascii="Times New Roman" w:hAnsi="Times New Roman" w:eastAsia="宋体" w:cs="Times New Roman"/>
                <w:color w:val="auto"/>
                <w:kern w:val="2"/>
                <w:sz w:val="21"/>
                <w:szCs w:val="21"/>
                <w:vertAlign w:val="baseline"/>
                <w:lang w:val="en-US" w:eastAsia="zh-CN" w:bidi="ar-SA"/>
              </w:rPr>
              <w:t>条</w:t>
            </w:r>
          </w:p>
        </w:tc>
        <w:tc>
          <w:tcPr>
            <w:tcW w:w="1038" w:type="dxa"/>
            <w:shd w:val="clear" w:color="auto" w:fill="auto"/>
            <w:vAlign w:val="center"/>
          </w:tcPr>
          <w:p w14:paraId="68395FCC">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查看有</w:t>
            </w:r>
          </w:p>
          <w:p w14:paraId="6D00ED29">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效文件</w:t>
            </w:r>
          </w:p>
        </w:tc>
        <w:tc>
          <w:tcPr>
            <w:tcW w:w="704" w:type="dxa"/>
            <w:shd w:val="clear" w:color="auto" w:fill="auto"/>
            <w:vAlign w:val="center"/>
          </w:tcPr>
          <w:p w14:paraId="4F732905">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保险人数</w:t>
            </w:r>
            <w:r>
              <w:rPr>
                <w:rFonts w:hint="default" w:ascii="Times New Roman" w:hAnsi="Times New Roman" w:eastAsia="宋体" w:cs="Times New Roman"/>
                <w:color w:val="auto"/>
                <w:kern w:val="2"/>
                <w:sz w:val="21"/>
                <w:szCs w:val="21"/>
                <w:vertAlign w:val="baseline"/>
                <w:lang w:val="en-US" w:eastAsia="zh-CN" w:bidi="ar-SA"/>
              </w:rPr>
              <w:t>与实际人数</w:t>
            </w:r>
            <w:r>
              <w:rPr>
                <w:rFonts w:hint="eastAsia" w:cs="Times New Roman"/>
                <w:color w:val="auto"/>
                <w:kern w:val="2"/>
                <w:sz w:val="21"/>
                <w:szCs w:val="21"/>
                <w:vertAlign w:val="baseline"/>
                <w:lang w:val="en-US" w:eastAsia="zh-CN" w:bidi="ar-SA"/>
              </w:rPr>
              <w:t>不</w:t>
            </w:r>
            <w:r>
              <w:rPr>
                <w:rFonts w:hint="default" w:ascii="Times New Roman" w:hAnsi="Times New Roman" w:eastAsia="宋体" w:cs="Times New Roman"/>
                <w:color w:val="auto"/>
                <w:kern w:val="2"/>
                <w:sz w:val="21"/>
                <w:szCs w:val="21"/>
                <w:vertAlign w:val="baseline"/>
                <w:lang w:val="en-US" w:eastAsia="zh-CN" w:bidi="ar-SA"/>
              </w:rPr>
              <w:t>相符</w:t>
            </w:r>
          </w:p>
        </w:tc>
        <w:tc>
          <w:tcPr>
            <w:tcW w:w="681" w:type="dxa"/>
            <w:shd w:val="clear" w:color="auto" w:fill="auto"/>
            <w:vAlign w:val="center"/>
          </w:tcPr>
          <w:p w14:paraId="18D9B21C">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6</w:t>
            </w:r>
          </w:p>
        </w:tc>
        <w:tc>
          <w:tcPr>
            <w:tcW w:w="944" w:type="dxa"/>
            <w:shd w:val="clear" w:color="auto" w:fill="auto"/>
            <w:vAlign w:val="center"/>
          </w:tcPr>
          <w:p w14:paraId="44D62A9D">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缺1项</w:t>
            </w:r>
          </w:p>
          <w:p w14:paraId="7C0735E1">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扣2分</w:t>
            </w:r>
          </w:p>
        </w:tc>
        <w:tc>
          <w:tcPr>
            <w:tcW w:w="642" w:type="dxa"/>
            <w:shd w:val="clear" w:color="auto" w:fill="auto"/>
            <w:vAlign w:val="center"/>
          </w:tcPr>
          <w:p w14:paraId="61592C06">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4</w:t>
            </w:r>
          </w:p>
        </w:tc>
      </w:tr>
      <w:tr w14:paraId="236FC2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2" w:type="dxa"/>
            <w:shd w:val="clear" w:color="auto" w:fill="auto"/>
            <w:vAlign w:val="center"/>
          </w:tcPr>
          <w:p w14:paraId="7722005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7. 应急救援</w:t>
            </w:r>
          </w:p>
        </w:tc>
        <w:tc>
          <w:tcPr>
            <w:tcW w:w="2623" w:type="dxa"/>
            <w:shd w:val="clear" w:color="auto" w:fill="auto"/>
            <w:vAlign w:val="center"/>
          </w:tcPr>
          <w:p w14:paraId="699E550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7.1 生产经营单位应当根据有关法律、法规、规章和相关标准，结合本单位组织管理体系、生产规模和可能发生的事故特点（边坡坍塌、排土场泥石流、爆破伤害以及采矿诱发地质灾害等事故），确立本单位的应急预案体系，编制相应的应急预案；</w:t>
            </w:r>
          </w:p>
          <w:p w14:paraId="651658A7">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7.2 应急预案分为综合应急预案、专项应急预案和现场处置方案；</w:t>
            </w:r>
          </w:p>
          <w:p w14:paraId="22705847">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7.3 应急预案经评审及备案；</w:t>
            </w:r>
          </w:p>
          <w:p w14:paraId="3E345883">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7.4 是否进行事故应急救援演练；</w:t>
            </w:r>
          </w:p>
          <w:p w14:paraId="0D66FE7D">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7.5 矿山企业应当每三年进行一次应急预案评估。</w:t>
            </w:r>
          </w:p>
          <w:p w14:paraId="41A5D6A3">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7.6 应急救援设备、器材配备是否处于适用状态。</w:t>
            </w:r>
          </w:p>
          <w:p w14:paraId="6A62BF9B">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7.7 矿山单位应当建立应急救援组织；</w:t>
            </w:r>
          </w:p>
          <w:p w14:paraId="09CFF12F">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7.8 与就近的专业矿山救护队签订应急救援协议。</w:t>
            </w:r>
          </w:p>
        </w:tc>
        <w:tc>
          <w:tcPr>
            <w:tcW w:w="1684" w:type="dxa"/>
            <w:shd w:val="clear" w:color="auto" w:fill="auto"/>
            <w:vAlign w:val="center"/>
          </w:tcPr>
          <w:p w14:paraId="6D4A0C63">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《生产安全事故应急预案管理办法》第6、12、21、26、</w:t>
            </w:r>
          </w:p>
          <w:p w14:paraId="184D5D43">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33、35、38条</w:t>
            </w:r>
          </w:p>
          <w:p w14:paraId="2C3AD92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《安全生产法》</w:t>
            </w:r>
          </w:p>
          <w:p w14:paraId="74FF0A5D">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第82条</w:t>
            </w:r>
          </w:p>
          <w:p w14:paraId="5DA024DD">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《金属非金属矿</w:t>
            </w:r>
          </w:p>
          <w:p w14:paraId="07069617">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山安全规程》</w:t>
            </w:r>
          </w:p>
          <w:p w14:paraId="4BF2081E">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第8.1条</w:t>
            </w:r>
          </w:p>
        </w:tc>
        <w:tc>
          <w:tcPr>
            <w:tcW w:w="1038" w:type="dxa"/>
            <w:shd w:val="clear" w:color="auto" w:fill="auto"/>
            <w:vAlign w:val="center"/>
          </w:tcPr>
          <w:p w14:paraId="42DBBD7C">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查看有</w:t>
            </w:r>
          </w:p>
          <w:p w14:paraId="69DE0E8D">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效文件</w:t>
            </w:r>
          </w:p>
        </w:tc>
        <w:tc>
          <w:tcPr>
            <w:tcW w:w="704" w:type="dxa"/>
            <w:shd w:val="clear" w:color="auto" w:fill="auto"/>
            <w:vAlign w:val="center"/>
          </w:tcPr>
          <w:p w14:paraId="6DA81C10">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符合</w:t>
            </w:r>
          </w:p>
        </w:tc>
        <w:tc>
          <w:tcPr>
            <w:tcW w:w="681" w:type="dxa"/>
            <w:shd w:val="clear" w:color="auto" w:fill="auto"/>
            <w:vAlign w:val="center"/>
          </w:tcPr>
          <w:p w14:paraId="1B08CFF3">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16</w:t>
            </w:r>
          </w:p>
        </w:tc>
        <w:tc>
          <w:tcPr>
            <w:tcW w:w="944" w:type="dxa"/>
            <w:shd w:val="clear" w:color="auto" w:fill="auto"/>
            <w:vAlign w:val="center"/>
          </w:tcPr>
          <w:p w14:paraId="5AE85D39">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缺1项</w:t>
            </w:r>
          </w:p>
          <w:p w14:paraId="271DCC8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扣2分，1项不完善扣1分，累计扣满16分为止</w:t>
            </w:r>
          </w:p>
        </w:tc>
        <w:tc>
          <w:tcPr>
            <w:tcW w:w="642" w:type="dxa"/>
            <w:shd w:val="clear" w:color="auto" w:fill="auto"/>
            <w:vAlign w:val="center"/>
          </w:tcPr>
          <w:p w14:paraId="05B08A6E">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16</w:t>
            </w:r>
          </w:p>
        </w:tc>
      </w:tr>
      <w:tr w14:paraId="47C8A0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972" w:type="dxa"/>
            <w:shd w:val="clear" w:color="auto" w:fill="auto"/>
            <w:vAlign w:val="center"/>
          </w:tcPr>
          <w:p w14:paraId="1436405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小计</w:t>
            </w:r>
          </w:p>
        </w:tc>
        <w:tc>
          <w:tcPr>
            <w:tcW w:w="2623" w:type="dxa"/>
            <w:shd w:val="clear" w:color="auto" w:fill="auto"/>
            <w:vAlign w:val="center"/>
          </w:tcPr>
          <w:p w14:paraId="153C72C7">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default" w:ascii="Times New Roman" w:hAnsi="Times New Roman" w:eastAsia="宋体" w:cs="Times New Roman"/>
                <w:color w:val="auto"/>
                <w:kern w:val="2"/>
                <w:sz w:val="21"/>
                <w:szCs w:val="21"/>
                <w:vertAlign w:val="baseline"/>
                <w:lang w:val="en-US" w:eastAsia="zh-CN" w:bidi="ar-SA"/>
              </w:rPr>
            </w:pPr>
          </w:p>
        </w:tc>
        <w:tc>
          <w:tcPr>
            <w:tcW w:w="1684" w:type="dxa"/>
            <w:shd w:val="clear" w:color="auto" w:fill="auto"/>
            <w:vAlign w:val="center"/>
          </w:tcPr>
          <w:p w14:paraId="0EAF0C2F">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p>
        </w:tc>
        <w:tc>
          <w:tcPr>
            <w:tcW w:w="1038" w:type="dxa"/>
            <w:shd w:val="clear" w:color="auto" w:fill="auto"/>
            <w:vAlign w:val="center"/>
          </w:tcPr>
          <w:p w14:paraId="08B305AD">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p>
        </w:tc>
        <w:tc>
          <w:tcPr>
            <w:tcW w:w="704" w:type="dxa"/>
            <w:shd w:val="clear" w:color="auto" w:fill="auto"/>
            <w:vAlign w:val="center"/>
          </w:tcPr>
          <w:p w14:paraId="56B43C6B">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s="Times New Roman"/>
                <w:color w:val="auto"/>
                <w:kern w:val="2"/>
                <w:sz w:val="21"/>
                <w:szCs w:val="21"/>
                <w:vertAlign w:val="baseline"/>
                <w:lang w:val="en-US" w:eastAsia="zh-CN" w:bidi="ar-SA"/>
              </w:rPr>
            </w:pPr>
          </w:p>
        </w:tc>
        <w:tc>
          <w:tcPr>
            <w:tcW w:w="681" w:type="dxa"/>
            <w:shd w:val="clear" w:color="auto" w:fill="auto"/>
            <w:vAlign w:val="center"/>
          </w:tcPr>
          <w:p w14:paraId="536C0514">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120</w:t>
            </w:r>
          </w:p>
        </w:tc>
        <w:tc>
          <w:tcPr>
            <w:tcW w:w="944" w:type="dxa"/>
            <w:shd w:val="clear" w:color="auto" w:fill="auto"/>
            <w:vAlign w:val="center"/>
          </w:tcPr>
          <w:p w14:paraId="7CDF6BCA">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s="Times New Roman"/>
                <w:color w:val="auto"/>
                <w:kern w:val="2"/>
                <w:sz w:val="21"/>
                <w:szCs w:val="21"/>
                <w:vertAlign w:val="baseline"/>
                <w:lang w:val="en-US" w:eastAsia="zh-CN" w:bidi="ar-SA"/>
              </w:rPr>
            </w:pPr>
          </w:p>
        </w:tc>
        <w:tc>
          <w:tcPr>
            <w:tcW w:w="642" w:type="dxa"/>
            <w:shd w:val="clear" w:color="auto" w:fill="auto"/>
            <w:vAlign w:val="center"/>
          </w:tcPr>
          <w:p w14:paraId="4B194979">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104</w:t>
            </w:r>
          </w:p>
        </w:tc>
      </w:tr>
    </w:tbl>
    <w:p w14:paraId="79E65B42">
      <w:pPr>
        <w:pStyle w:val="4"/>
        <w:bidi w:val="0"/>
        <w:rPr>
          <w:rFonts w:hint="default"/>
          <w:color w:val="auto"/>
          <w:lang w:val="en-US" w:eastAsia="zh-CN"/>
        </w:rPr>
      </w:pPr>
      <w:bookmarkStart w:id="276" w:name="_Toc22182"/>
      <w:bookmarkStart w:id="277" w:name="_Toc14300"/>
      <w:bookmarkStart w:id="278" w:name="_Toc29367"/>
      <w:r>
        <w:rPr>
          <w:rFonts w:hint="default"/>
          <w:color w:val="auto"/>
          <w:lang w:val="en-US" w:eastAsia="zh-CN"/>
        </w:rPr>
        <w:t>5.1.2</w:t>
      </w:r>
      <w:r>
        <w:rPr>
          <w:rFonts w:hint="eastAsia"/>
          <w:color w:val="auto"/>
          <w:lang w:val="en-US" w:eastAsia="zh-CN"/>
        </w:rPr>
        <w:t xml:space="preserve"> </w:t>
      </w:r>
      <w:r>
        <w:rPr>
          <w:rFonts w:hint="default"/>
          <w:color w:val="auto"/>
          <w:lang w:val="en-US" w:eastAsia="zh-CN"/>
        </w:rPr>
        <w:t>评价小结</w:t>
      </w:r>
      <w:bookmarkEnd w:id="276"/>
      <w:bookmarkEnd w:id="277"/>
      <w:bookmarkEnd w:id="278"/>
    </w:p>
    <w:p w14:paraId="65DC91B8">
      <w:pPr>
        <w:bidi w:val="0"/>
        <w:rPr>
          <w:rFonts w:hint="default"/>
          <w:b w:val="0"/>
          <w:bCs w:val="0"/>
          <w:color w:val="auto"/>
          <w:lang w:val="en-US" w:eastAsia="zh-CN"/>
        </w:rPr>
      </w:pPr>
      <w:r>
        <w:rPr>
          <w:rFonts w:hint="default"/>
          <w:b w:val="0"/>
          <w:bCs w:val="0"/>
          <w:color w:val="auto"/>
          <w:lang w:val="en-US" w:eastAsia="zh-CN"/>
        </w:rPr>
        <w:t>江西省坤育矿业有限公司德安县聂桥镇刘家山矿区建筑用辉绿岩矿露天开采</w:t>
      </w:r>
      <w:r>
        <w:rPr>
          <w:rFonts w:hint="eastAsia"/>
          <w:b w:val="0"/>
          <w:bCs w:val="0"/>
          <w:color w:val="auto"/>
          <w:lang w:val="en-US" w:eastAsia="zh-CN"/>
        </w:rPr>
        <w:t>工程</w:t>
      </w:r>
      <w:r>
        <w:rPr>
          <w:rFonts w:hint="default"/>
          <w:b w:val="0"/>
          <w:bCs w:val="0"/>
          <w:color w:val="auto"/>
          <w:lang w:val="en-US" w:eastAsia="zh-CN"/>
        </w:rPr>
        <w:t>安全管理单元</w:t>
      </w:r>
      <w:r>
        <w:rPr>
          <w:rFonts w:hint="eastAsia"/>
          <w:b w:val="0"/>
          <w:bCs w:val="0"/>
          <w:color w:val="auto"/>
          <w:lang w:val="en-US" w:eastAsia="zh-CN"/>
        </w:rPr>
        <w:t>安全</w:t>
      </w:r>
      <w:r>
        <w:rPr>
          <w:rFonts w:hint="default"/>
          <w:b w:val="0"/>
          <w:bCs w:val="0"/>
          <w:color w:val="auto"/>
          <w:lang w:val="en-US" w:eastAsia="zh-CN"/>
        </w:rPr>
        <w:t>检查表中否决项为</w:t>
      </w:r>
      <w:r>
        <w:rPr>
          <w:rFonts w:hint="eastAsia" w:ascii="宋体" w:hAnsi="宋体" w:eastAsia="宋体" w:cs="宋体"/>
          <w:b w:val="0"/>
          <w:bCs w:val="0"/>
          <w:color w:val="auto"/>
          <w:lang w:val="en-US" w:eastAsia="zh-CN"/>
        </w:rPr>
        <w:t>“</w:t>
      </w:r>
      <w:r>
        <w:rPr>
          <w:rFonts w:hint="default"/>
          <w:b w:val="0"/>
          <w:bCs w:val="0"/>
          <w:color w:val="auto"/>
          <w:lang w:val="en-US" w:eastAsia="zh-CN"/>
        </w:rPr>
        <w:t>合格</w:t>
      </w:r>
      <w:r>
        <w:rPr>
          <w:rFonts w:hint="eastAsia" w:ascii="宋体" w:hAnsi="宋体" w:eastAsia="宋体" w:cs="宋体"/>
          <w:b w:val="0"/>
          <w:bCs w:val="0"/>
          <w:color w:val="auto"/>
          <w:lang w:val="en-US" w:eastAsia="zh-CN"/>
        </w:rPr>
        <w:t>”</w:t>
      </w:r>
      <w:r>
        <w:rPr>
          <w:rFonts w:hint="default"/>
          <w:b w:val="0"/>
          <w:bCs w:val="0"/>
          <w:color w:val="auto"/>
          <w:lang w:val="en-US" w:eastAsia="zh-CN"/>
        </w:rPr>
        <w:t>或</w:t>
      </w:r>
      <w:r>
        <w:rPr>
          <w:rFonts w:hint="eastAsia" w:ascii="宋体" w:hAnsi="宋体" w:eastAsia="宋体" w:cs="宋体"/>
          <w:b w:val="0"/>
          <w:bCs w:val="0"/>
          <w:color w:val="auto"/>
          <w:lang w:val="en-US" w:eastAsia="zh-CN"/>
        </w:rPr>
        <w:t>“</w:t>
      </w:r>
      <w:r>
        <w:rPr>
          <w:rFonts w:hint="default"/>
          <w:b w:val="0"/>
          <w:bCs w:val="0"/>
          <w:color w:val="auto"/>
          <w:lang w:val="en-US" w:eastAsia="zh-CN"/>
        </w:rPr>
        <w:t>不涉及</w:t>
      </w:r>
      <w:r>
        <w:rPr>
          <w:rFonts w:hint="eastAsia" w:ascii="宋体" w:hAnsi="宋体" w:eastAsia="宋体" w:cs="宋体"/>
          <w:b w:val="0"/>
          <w:bCs w:val="0"/>
          <w:color w:val="auto"/>
          <w:lang w:val="en-US" w:eastAsia="zh-CN"/>
        </w:rPr>
        <w:t>”</w:t>
      </w:r>
      <w:r>
        <w:rPr>
          <w:rFonts w:hint="eastAsia"/>
          <w:b w:val="0"/>
          <w:bCs w:val="0"/>
          <w:color w:val="auto"/>
          <w:lang w:val="en-US" w:eastAsia="zh-CN"/>
        </w:rPr>
        <w:t>，</w:t>
      </w:r>
      <w:r>
        <w:rPr>
          <w:rFonts w:hint="default"/>
          <w:b w:val="0"/>
          <w:bCs w:val="0"/>
          <w:color w:val="auto"/>
          <w:lang w:val="en-US" w:eastAsia="zh-CN"/>
        </w:rPr>
        <w:t>一般项总分1</w:t>
      </w:r>
      <w:r>
        <w:rPr>
          <w:rFonts w:hint="eastAsia"/>
          <w:b w:val="0"/>
          <w:bCs w:val="0"/>
          <w:color w:val="auto"/>
          <w:lang w:val="en-US" w:eastAsia="zh-CN"/>
        </w:rPr>
        <w:t>20</w:t>
      </w:r>
      <w:r>
        <w:rPr>
          <w:rFonts w:hint="default"/>
          <w:b w:val="0"/>
          <w:bCs w:val="0"/>
          <w:color w:val="auto"/>
          <w:lang w:val="en-US" w:eastAsia="zh-CN"/>
        </w:rPr>
        <w:t>分，</w:t>
      </w:r>
      <w:r>
        <w:rPr>
          <w:rFonts w:hint="eastAsia"/>
          <w:b w:val="0"/>
          <w:bCs w:val="0"/>
          <w:color w:val="auto"/>
          <w:lang w:val="en-US" w:eastAsia="zh-CN"/>
        </w:rPr>
        <w:t>得分104</w:t>
      </w:r>
      <w:r>
        <w:rPr>
          <w:rFonts w:hint="default"/>
          <w:b w:val="0"/>
          <w:bCs w:val="0"/>
          <w:color w:val="auto"/>
          <w:lang w:val="en-US" w:eastAsia="zh-CN"/>
        </w:rPr>
        <w:t>分，得分率为</w:t>
      </w:r>
      <w:r>
        <w:rPr>
          <w:rFonts w:hint="eastAsia"/>
          <w:b w:val="0"/>
          <w:bCs w:val="0"/>
          <w:color w:val="auto"/>
          <w:lang w:val="en-US" w:eastAsia="zh-CN"/>
        </w:rPr>
        <w:t>86.67</w:t>
      </w:r>
      <w:r>
        <w:rPr>
          <w:rFonts w:hint="default"/>
          <w:b w:val="0"/>
          <w:bCs w:val="0"/>
          <w:color w:val="auto"/>
          <w:lang w:val="en-US" w:eastAsia="zh-CN"/>
        </w:rPr>
        <w:t>%，说明江西省坤育矿业有限公司德安县聂桥镇刘家山矿区建筑用辉绿岩矿露天开采</w:t>
      </w:r>
      <w:r>
        <w:rPr>
          <w:rFonts w:hint="eastAsia"/>
          <w:b w:val="0"/>
          <w:bCs w:val="0"/>
          <w:color w:val="auto"/>
          <w:lang w:val="en-US" w:eastAsia="zh-CN"/>
        </w:rPr>
        <w:t>工程</w:t>
      </w:r>
      <w:r>
        <w:rPr>
          <w:rFonts w:hint="default"/>
          <w:b w:val="0"/>
          <w:bCs w:val="0"/>
          <w:color w:val="auto"/>
          <w:lang w:val="en-US" w:eastAsia="zh-CN"/>
        </w:rPr>
        <w:t>安全管理单元有关证照合法有效，符合法律法规要求。</w:t>
      </w:r>
    </w:p>
    <w:p w14:paraId="547D2A6A">
      <w:pPr>
        <w:bidi w:val="0"/>
        <w:rPr>
          <w:rFonts w:hint="default"/>
          <w:b w:val="0"/>
          <w:bCs w:val="0"/>
          <w:color w:val="auto"/>
          <w:lang w:val="en-US" w:eastAsia="zh-CN"/>
        </w:rPr>
      </w:pPr>
      <w:r>
        <w:rPr>
          <w:rFonts w:hint="default"/>
          <w:b w:val="0"/>
          <w:bCs w:val="0"/>
          <w:color w:val="auto"/>
          <w:lang w:val="en-US" w:eastAsia="zh-CN"/>
        </w:rPr>
        <w:t>存在的主要问题</w:t>
      </w:r>
      <w:r>
        <w:rPr>
          <w:rFonts w:hint="eastAsia"/>
          <w:b w:val="0"/>
          <w:bCs w:val="0"/>
          <w:color w:val="auto"/>
          <w:lang w:val="en-US" w:eastAsia="zh-CN"/>
        </w:rPr>
        <w:t>：</w:t>
      </w:r>
      <w:r>
        <w:rPr>
          <w:rFonts w:hint="default"/>
          <w:b w:val="0"/>
          <w:bCs w:val="0"/>
          <w:color w:val="auto"/>
          <w:lang w:val="en-US" w:eastAsia="zh-CN"/>
        </w:rPr>
        <w:t>1</w:t>
      </w:r>
      <w:r>
        <w:rPr>
          <w:rFonts w:hint="eastAsia"/>
          <w:b w:val="0"/>
          <w:bCs w:val="0"/>
          <w:color w:val="auto"/>
          <w:lang w:val="en-US" w:eastAsia="zh-CN"/>
        </w:rPr>
        <w:t>）</w:t>
      </w:r>
      <w:r>
        <w:rPr>
          <w:rFonts w:hint="default"/>
          <w:b w:val="0"/>
          <w:bCs w:val="0"/>
          <w:color w:val="auto"/>
          <w:lang w:val="en-US" w:eastAsia="zh-CN"/>
        </w:rPr>
        <w:t>未配备地质专业的技术人员</w:t>
      </w:r>
      <w:r>
        <w:rPr>
          <w:rFonts w:hint="eastAsia"/>
          <w:b w:val="0"/>
          <w:bCs w:val="0"/>
          <w:color w:val="auto"/>
          <w:lang w:val="en-US" w:eastAsia="zh-CN"/>
        </w:rPr>
        <w:t>；2）</w:t>
      </w:r>
      <w:r>
        <w:rPr>
          <w:rFonts w:hint="default"/>
          <w:b w:val="0"/>
          <w:bCs w:val="0"/>
          <w:color w:val="auto"/>
          <w:lang w:val="en-US" w:eastAsia="zh-CN"/>
        </w:rPr>
        <w:t>安全生产规章制度不齐全</w:t>
      </w:r>
      <w:r>
        <w:rPr>
          <w:rFonts w:hint="eastAsia"/>
          <w:b w:val="0"/>
          <w:bCs w:val="0"/>
          <w:color w:val="auto"/>
          <w:lang w:val="en-US" w:eastAsia="zh-CN"/>
        </w:rPr>
        <w:t>；</w:t>
      </w:r>
      <w:r>
        <w:rPr>
          <w:rFonts w:hint="default"/>
          <w:b w:val="0"/>
          <w:bCs w:val="0"/>
          <w:color w:val="auto"/>
          <w:lang w:val="en-US" w:eastAsia="zh-CN"/>
        </w:rPr>
        <w:t>3</w:t>
      </w:r>
      <w:r>
        <w:rPr>
          <w:rFonts w:hint="eastAsia"/>
          <w:b w:val="0"/>
          <w:bCs w:val="0"/>
          <w:color w:val="auto"/>
          <w:lang w:val="en-US" w:eastAsia="zh-CN"/>
        </w:rPr>
        <w:t>）</w:t>
      </w:r>
      <w:r>
        <w:rPr>
          <w:rFonts w:hint="default"/>
          <w:b w:val="0"/>
          <w:bCs w:val="0"/>
          <w:color w:val="auto"/>
          <w:lang w:val="en-US" w:eastAsia="zh-CN"/>
        </w:rPr>
        <w:t>未见相关实物发票</w:t>
      </w:r>
      <w:r>
        <w:rPr>
          <w:rFonts w:hint="eastAsia"/>
          <w:b w:val="0"/>
          <w:bCs w:val="0"/>
          <w:color w:val="auto"/>
          <w:lang w:val="en-US" w:eastAsia="zh-CN"/>
        </w:rPr>
        <w:t>；4）保险人数与实际人数不相符</w:t>
      </w:r>
      <w:r>
        <w:rPr>
          <w:rFonts w:hint="default"/>
          <w:b w:val="0"/>
          <w:bCs w:val="0"/>
          <w:color w:val="auto"/>
          <w:lang w:val="en-US" w:eastAsia="zh-CN"/>
        </w:rPr>
        <w:t>。</w:t>
      </w:r>
    </w:p>
    <w:p w14:paraId="74606EC1">
      <w:pPr>
        <w:pStyle w:val="3"/>
        <w:bidi w:val="0"/>
        <w:rPr>
          <w:rFonts w:hint="default"/>
          <w:color w:val="auto"/>
          <w:lang w:val="en-US" w:eastAsia="zh-CN"/>
        </w:rPr>
      </w:pPr>
      <w:bookmarkStart w:id="279" w:name="_Toc25916"/>
      <w:bookmarkStart w:id="280" w:name="_Toc4233"/>
      <w:bookmarkStart w:id="281" w:name="_Toc30485"/>
      <w:r>
        <w:rPr>
          <w:rFonts w:hint="eastAsia"/>
          <w:color w:val="auto"/>
          <w:lang w:val="en-US" w:eastAsia="zh-CN"/>
        </w:rPr>
        <w:t>5.2 露天采场单元</w:t>
      </w:r>
      <w:bookmarkEnd w:id="279"/>
      <w:bookmarkEnd w:id="280"/>
      <w:bookmarkEnd w:id="281"/>
    </w:p>
    <w:p w14:paraId="5CD3EFD8">
      <w:pPr>
        <w:pStyle w:val="4"/>
        <w:bidi w:val="0"/>
        <w:rPr>
          <w:rFonts w:hint="default"/>
          <w:color w:val="auto"/>
          <w:lang w:val="en-US" w:eastAsia="zh-CN"/>
        </w:rPr>
      </w:pPr>
      <w:bookmarkStart w:id="282" w:name="_Toc9897"/>
      <w:bookmarkStart w:id="283" w:name="_Toc20120"/>
      <w:bookmarkStart w:id="284" w:name="_Toc6854"/>
      <w:r>
        <w:rPr>
          <w:rFonts w:hint="eastAsia"/>
          <w:color w:val="auto"/>
          <w:lang w:val="en-US" w:eastAsia="zh-CN"/>
        </w:rPr>
        <w:t>5.2.1 露天采场安全检查表</w:t>
      </w:r>
      <w:bookmarkEnd w:id="282"/>
      <w:bookmarkEnd w:id="283"/>
      <w:bookmarkEnd w:id="284"/>
    </w:p>
    <w:p w14:paraId="5DDD558A">
      <w:pPr>
        <w:rPr>
          <w:rFonts w:hint="default"/>
          <w:color w:val="auto"/>
          <w:lang w:val="en-US" w:eastAsia="zh-CN"/>
        </w:rPr>
      </w:pPr>
      <w:r>
        <w:rPr>
          <w:rFonts w:hint="default"/>
          <w:color w:val="auto"/>
          <w:lang w:val="en-US" w:eastAsia="zh-CN"/>
        </w:rPr>
        <w:t>露天采场安全检查表</w:t>
      </w:r>
      <w:r>
        <w:rPr>
          <w:rFonts w:hint="eastAsia"/>
          <w:color w:val="auto"/>
          <w:lang w:val="en-US" w:eastAsia="zh-CN"/>
        </w:rPr>
        <w:t>见</w:t>
      </w:r>
      <w:r>
        <w:rPr>
          <w:rFonts w:hint="default"/>
          <w:color w:val="auto"/>
          <w:lang w:val="en-US" w:eastAsia="zh-CN"/>
        </w:rPr>
        <w:t>表5.</w:t>
      </w:r>
      <w:r>
        <w:rPr>
          <w:rFonts w:hint="eastAsia"/>
          <w:color w:val="auto"/>
          <w:lang w:val="en-US" w:eastAsia="zh-CN"/>
        </w:rPr>
        <w:t>2</w:t>
      </w:r>
      <w:r>
        <w:rPr>
          <w:rFonts w:hint="default"/>
          <w:color w:val="auto"/>
          <w:lang w:val="en-US" w:eastAsia="zh-CN"/>
        </w:rPr>
        <w:t>-1所示。</w:t>
      </w:r>
    </w:p>
    <w:p w14:paraId="0968389A">
      <w:pPr>
        <w:ind w:left="0" w:leftChars="0" w:firstLine="0" w:firstLineChars="0"/>
        <w:jc w:val="center"/>
        <w:rPr>
          <w:rFonts w:hint="default"/>
          <w:color w:val="auto"/>
          <w:lang w:val="en-US" w:eastAsia="zh-CN"/>
        </w:rPr>
      </w:pPr>
      <w:r>
        <w:rPr>
          <w:rFonts w:hint="default"/>
          <w:color w:val="auto"/>
          <w:lang w:val="en-US" w:eastAsia="zh-CN"/>
        </w:rPr>
        <w:t>表5.</w:t>
      </w:r>
      <w:r>
        <w:rPr>
          <w:rFonts w:hint="eastAsia"/>
          <w:color w:val="auto"/>
          <w:lang w:val="en-US" w:eastAsia="zh-CN"/>
        </w:rPr>
        <w:t>2</w:t>
      </w:r>
      <w:r>
        <w:rPr>
          <w:rFonts w:hint="default"/>
          <w:color w:val="auto"/>
          <w:lang w:val="en-US" w:eastAsia="zh-CN"/>
        </w:rPr>
        <w:t>-1 露天采场</w:t>
      </w:r>
      <w:r>
        <w:rPr>
          <w:rFonts w:hint="eastAsia"/>
          <w:color w:val="auto"/>
          <w:lang w:val="en-US" w:eastAsia="zh-CN"/>
        </w:rPr>
        <w:t>安全</w:t>
      </w:r>
      <w:r>
        <w:rPr>
          <w:rFonts w:hint="default"/>
          <w:color w:val="auto"/>
          <w:lang w:val="en-US" w:eastAsia="zh-CN"/>
        </w:rPr>
        <w:t>检查表</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1"/>
        <w:gridCol w:w="2854"/>
        <w:gridCol w:w="1548"/>
        <w:gridCol w:w="1099"/>
        <w:gridCol w:w="1017"/>
        <w:gridCol w:w="696"/>
        <w:gridCol w:w="933"/>
        <w:gridCol w:w="633"/>
      </w:tblGrid>
      <w:tr w14:paraId="1F7684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591" w:type="dxa"/>
            <w:vAlign w:val="center"/>
          </w:tcPr>
          <w:p w14:paraId="76EEE1D8">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b/>
                <w:bCs/>
                <w:color w:val="auto"/>
                <w:sz w:val="21"/>
                <w:szCs w:val="21"/>
                <w:vertAlign w:val="baseline"/>
                <w:lang w:val="en-US" w:eastAsia="zh-CN"/>
              </w:rPr>
            </w:pPr>
            <w:r>
              <w:rPr>
                <w:rFonts w:hint="eastAsia"/>
                <w:b/>
                <w:bCs/>
                <w:color w:val="auto"/>
                <w:sz w:val="21"/>
                <w:szCs w:val="21"/>
                <w:vertAlign w:val="baseline"/>
                <w:lang w:val="en-US" w:eastAsia="zh-CN"/>
              </w:rPr>
              <w:t>序号</w:t>
            </w:r>
          </w:p>
        </w:tc>
        <w:tc>
          <w:tcPr>
            <w:tcW w:w="2854" w:type="dxa"/>
            <w:vAlign w:val="center"/>
          </w:tcPr>
          <w:p w14:paraId="65101B94">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b/>
                <w:bCs/>
                <w:color w:val="auto"/>
                <w:sz w:val="21"/>
                <w:szCs w:val="21"/>
                <w:vertAlign w:val="baseline"/>
                <w:lang w:val="en-US" w:eastAsia="zh-CN"/>
              </w:rPr>
            </w:pPr>
            <w:r>
              <w:rPr>
                <w:rFonts w:hint="eastAsia"/>
                <w:b/>
                <w:bCs/>
                <w:color w:val="auto"/>
                <w:sz w:val="21"/>
                <w:szCs w:val="21"/>
                <w:vertAlign w:val="baseline"/>
                <w:lang w:val="en-US" w:eastAsia="zh-CN"/>
              </w:rPr>
              <w:t>检查内容</w:t>
            </w:r>
          </w:p>
        </w:tc>
        <w:tc>
          <w:tcPr>
            <w:tcW w:w="1548" w:type="dxa"/>
            <w:vAlign w:val="center"/>
          </w:tcPr>
          <w:p w14:paraId="03E09B6B">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b/>
                <w:bCs/>
                <w:color w:val="auto"/>
                <w:sz w:val="21"/>
                <w:szCs w:val="21"/>
                <w:vertAlign w:val="baseline"/>
                <w:lang w:val="en-US" w:eastAsia="zh-CN"/>
              </w:rPr>
            </w:pPr>
            <w:r>
              <w:rPr>
                <w:rFonts w:hint="default"/>
                <w:b/>
                <w:bCs/>
                <w:color w:val="auto"/>
                <w:sz w:val="21"/>
                <w:szCs w:val="21"/>
                <w:vertAlign w:val="baseline"/>
                <w:lang w:val="en-US" w:eastAsia="zh-CN"/>
              </w:rPr>
              <w:t>检查依据</w:t>
            </w:r>
          </w:p>
        </w:tc>
        <w:tc>
          <w:tcPr>
            <w:tcW w:w="1099" w:type="dxa"/>
            <w:vAlign w:val="center"/>
          </w:tcPr>
          <w:p w14:paraId="3493CB83">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b/>
                <w:bCs/>
                <w:color w:val="auto"/>
                <w:sz w:val="21"/>
                <w:szCs w:val="21"/>
                <w:vertAlign w:val="baseline"/>
                <w:lang w:val="en-US" w:eastAsia="zh-CN"/>
              </w:rPr>
            </w:pPr>
            <w:r>
              <w:rPr>
                <w:rFonts w:hint="default"/>
                <w:b/>
                <w:bCs/>
                <w:color w:val="auto"/>
                <w:sz w:val="21"/>
                <w:szCs w:val="21"/>
                <w:vertAlign w:val="baseline"/>
                <w:lang w:val="en-US" w:eastAsia="zh-CN"/>
              </w:rPr>
              <w:t>检查方法及地点</w:t>
            </w:r>
          </w:p>
        </w:tc>
        <w:tc>
          <w:tcPr>
            <w:tcW w:w="1017" w:type="dxa"/>
            <w:vAlign w:val="center"/>
          </w:tcPr>
          <w:p w14:paraId="54A01200">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b/>
                <w:bCs/>
                <w:color w:val="auto"/>
                <w:sz w:val="21"/>
                <w:szCs w:val="21"/>
                <w:vertAlign w:val="baseline"/>
                <w:lang w:val="en-US" w:eastAsia="zh-CN"/>
              </w:rPr>
            </w:pPr>
            <w:r>
              <w:rPr>
                <w:rFonts w:hint="default"/>
                <w:b/>
                <w:bCs/>
                <w:color w:val="auto"/>
                <w:sz w:val="21"/>
                <w:szCs w:val="21"/>
                <w:vertAlign w:val="baseline"/>
                <w:lang w:val="en-US" w:eastAsia="zh-CN"/>
              </w:rPr>
              <w:t>检查</w:t>
            </w:r>
          </w:p>
          <w:p w14:paraId="106E137A">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b/>
                <w:bCs/>
                <w:color w:val="auto"/>
                <w:sz w:val="21"/>
                <w:szCs w:val="21"/>
                <w:vertAlign w:val="baseline"/>
                <w:lang w:val="en-US" w:eastAsia="zh-CN"/>
              </w:rPr>
            </w:pPr>
            <w:r>
              <w:rPr>
                <w:rFonts w:hint="default"/>
                <w:b/>
                <w:bCs/>
                <w:color w:val="auto"/>
                <w:sz w:val="21"/>
                <w:szCs w:val="21"/>
                <w:vertAlign w:val="baseline"/>
                <w:lang w:val="en-US" w:eastAsia="zh-CN"/>
              </w:rPr>
              <w:t>记录</w:t>
            </w:r>
          </w:p>
        </w:tc>
        <w:tc>
          <w:tcPr>
            <w:tcW w:w="696" w:type="dxa"/>
            <w:vAlign w:val="center"/>
          </w:tcPr>
          <w:p w14:paraId="38A1D883">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b/>
                <w:bCs/>
                <w:color w:val="auto"/>
                <w:sz w:val="21"/>
                <w:szCs w:val="21"/>
                <w:vertAlign w:val="baseline"/>
                <w:lang w:val="en-US" w:eastAsia="zh-CN"/>
              </w:rPr>
            </w:pPr>
            <w:r>
              <w:rPr>
                <w:rFonts w:hint="default"/>
                <w:b/>
                <w:bCs/>
                <w:color w:val="auto"/>
                <w:sz w:val="21"/>
                <w:szCs w:val="21"/>
                <w:vertAlign w:val="baseline"/>
                <w:lang w:val="en-US" w:eastAsia="zh-CN"/>
              </w:rPr>
              <w:t>标准</w:t>
            </w:r>
          </w:p>
          <w:p w14:paraId="4881FF64">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b/>
                <w:bCs/>
                <w:color w:val="auto"/>
                <w:sz w:val="21"/>
                <w:szCs w:val="21"/>
                <w:vertAlign w:val="baseline"/>
                <w:lang w:val="en-US" w:eastAsia="zh-CN"/>
              </w:rPr>
            </w:pPr>
            <w:r>
              <w:rPr>
                <w:rFonts w:hint="default"/>
                <w:b/>
                <w:bCs/>
                <w:color w:val="auto"/>
                <w:sz w:val="21"/>
                <w:szCs w:val="21"/>
                <w:vertAlign w:val="baseline"/>
                <w:lang w:val="en-US" w:eastAsia="zh-CN"/>
              </w:rPr>
              <w:t>分值</w:t>
            </w:r>
          </w:p>
        </w:tc>
        <w:tc>
          <w:tcPr>
            <w:tcW w:w="933" w:type="dxa"/>
            <w:vAlign w:val="center"/>
          </w:tcPr>
          <w:p w14:paraId="5A3475EB">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b/>
                <w:bCs/>
                <w:color w:val="auto"/>
                <w:sz w:val="21"/>
                <w:szCs w:val="21"/>
                <w:vertAlign w:val="baseline"/>
                <w:lang w:val="en-US" w:eastAsia="zh-CN"/>
              </w:rPr>
            </w:pPr>
            <w:r>
              <w:rPr>
                <w:rFonts w:hint="default"/>
                <w:b/>
                <w:bCs/>
                <w:color w:val="auto"/>
                <w:sz w:val="21"/>
                <w:szCs w:val="21"/>
                <w:vertAlign w:val="baseline"/>
                <w:lang w:val="en-US" w:eastAsia="zh-CN"/>
              </w:rPr>
              <w:t>评分</w:t>
            </w:r>
          </w:p>
          <w:p w14:paraId="27A804F8">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b/>
                <w:bCs/>
                <w:color w:val="auto"/>
                <w:sz w:val="21"/>
                <w:szCs w:val="21"/>
                <w:vertAlign w:val="baseline"/>
                <w:lang w:val="en-US" w:eastAsia="zh-CN"/>
              </w:rPr>
            </w:pPr>
            <w:r>
              <w:rPr>
                <w:rFonts w:hint="default"/>
                <w:b/>
                <w:bCs/>
                <w:color w:val="auto"/>
                <w:sz w:val="21"/>
                <w:szCs w:val="21"/>
                <w:vertAlign w:val="baseline"/>
                <w:lang w:val="en-US" w:eastAsia="zh-CN"/>
              </w:rPr>
              <w:t>标准</w:t>
            </w:r>
          </w:p>
        </w:tc>
        <w:tc>
          <w:tcPr>
            <w:tcW w:w="633" w:type="dxa"/>
            <w:vAlign w:val="center"/>
          </w:tcPr>
          <w:p w14:paraId="5312A771">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b/>
                <w:bCs/>
                <w:color w:val="auto"/>
                <w:sz w:val="21"/>
                <w:szCs w:val="21"/>
                <w:vertAlign w:val="baseline"/>
                <w:lang w:val="en-US" w:eastAsia="zh-CN"/>
              </w:rPr>
            </w:pPr>
            <w:r>
              <w:rPr>
                <w:rFonts w:hint="eastAsia"/>
                <w:b/>
                <w:bCs/>
                <w:color w:val="auto"/>
                <w:sz w:val="21"/>
                <w:szCs w:val="21"/>
                <w:vertAlign w:val="baseline"/>
                <w:lang w:val="en-US" w:eastAsia="zh-CN"/>
              </w:rPr>
              <w:t>得分</w:t>
            </w:r>
          </w:p>
        </w:tc>
      </w:tr>
      <w:tr w14:paraId="682F1C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591" w:type="dxa"/>
            <w:vMerge w:val="restart"/>
            <w:vAlign w:val="center"/>
          </w:tcPr>
          <w:p w14:paraId="60E8AB51">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1. 开采技术要求</w:t>
            </w:r>
          </w:p>
        </w:tc>
        <w:tc>
          <w:tcPr>
            <w:tcW w:w="2854" w:type="dxa"/>
            <w:vAlign w:val="center"/>
          </w:tcPr>
          <w:p w14:paraId="44E7A599">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1.</w:t>
            </w:r>
            <w:r>
              <w:rPr>
                <w:rFonts w:hint="eastAsia"/>
                <w:color w:val="auto"/>
                <w:sz w:val="21"/>
                <w:szCs w:val="21"/>
                <w:vertAlign w:val="baseline"/>
                <w:lang w:val="en-US" w:eastAsia="zh-CN"/>
              </w:rPr>
              <w:t>1</w:t>
            </w:r>
            <w:r>
              <w:rPr>
                <w:rFonts w:hint="default"/>
                <w:color w:val="auto"/>
                <w:sz w:val="21"/>
                <w:szCs w:val="21"/>
                <w:vertAlign w:val="baseline"/>
                <w:lang w:val="en-US" w:eastAsia="zh-CN"/>
              </w:rPr>
              <w:t xml:space="preserve"> 矿山开采安全设施设计经相应的安全生产监督管理部门审查通过。</w:t>
            </w:r>
          </w:p>
        </w:tc>
        <w:tc>
          <w:tcPr>
            <w:tcW w:w="1548" w:type="dxa"/>
            <w:vAlign w:val="center"/>
          </w:tcPr>
          <w:p w14:paraId="55E12BDC">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国家安监局令</w:t>
            </w:r>
          </w:p>
          <w:p w14:paraId="44B852EC">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第18号</w:t>
            </w:r>
          </w:p>
          <w:p w14:paraId="49DAC237">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第五条</w:t>
            </w:r>
          </w:p>
        </w:tc>
        <w:tc>
          <w:tcPr>
            <w:tcW w:w="1099" w:type="dxa"/>
            <w:vAlign w:val="center"/>
          </w:tcPr>
          <w:p w14:paraId="5D74FECB">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查看设计批复</w:t>
            </w:r>
          </w:p>
        </w:tc>
        <w:tc>
          <w:tcPr>
            <w:tcW w:w="1017" w:type="dxa"/>
            <w:vAlign w:val="center"/>
          </w:tcPr>
          <w:p w14:paraId="661A4626">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合格</w:t>
            </w:r>
          </w:p>
        </w:tc>
        <w:tc>
          <w:tcPr>
            <w:tcW w:w="696" w:type="dxa"/>
            <w:vAlign w:val="center"/>
          </w:tcPr>
          <w:p w14:paraId="20976BA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否决项</w:t>
            </w:r>
          </w:p>
        </w:tc>
        <w:tc>
          <w:tcPr>
            <w:tcW w:w="933" w:type="dxa"/>
            <w:vAlign w:val="center"/>
          </w:tcPr>
          <w:p w14:paraId="14ADC15D">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w:t>
            </w:r>
          </w:p>
        </w:tc>
        <w:tc>
          <w:tcPr>
            <w:tcW w:w="633" w:type="dxa"/>
            <w:vAlign w:val="center"/>
          </w:tcPr>
          <w:p w14:paraId="4A34467E">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w:t>
            </w:r>
          </w:p>
        </w:tc>
      </w:tr>
      <w:tr w14:paraId="0227A8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91" w:type="dxa"/>
            <w:vMerge w:val="continue"/>
            <w:vAlign w:val="center"/>
          </w:tcPr>
          <w:p w14:paraId="4632C186">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p>
        </w:tc>
        <w:tc>
          <w:tcPr>
            <w:tcW w:w="2854" w:type="dxa"/>
            <w:vAlign w:val="center"/>
          </w:tcPr>
          <w:p w14:paraId="4A39EF07">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1.1.1 有遭遇洪水危险的露天矿山应设置专用的防洪、排洪设施。</w:t>
            </w:r>
          </w:p>
        </w:tc>
        <w:tc>
          <w:tcPr>
            <w:tcW w:w="1548" w:type="dxa"/>
            <w:vAlign w:val="center"/>
          </w:tcPr>
          <w:p w14:paraId="742BCE02">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GB16423-2020</w:t>
            </w:r>
          </w:p>
          <w:p w14:paraId="5BA251DB">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5.1.1</w:t>
            </w:r>
          </w:p>
        </w:tc>
        <w:tc>
          <w:tcPr>
            <w:tcW w:w="1099" w:type="dxa"/>
            <w:vAlign w:val="center"/>
          </w:tcPr>
          <w:p w14:paraId="3377FD38">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default" w:ascii="Times New Roman" w:hAnsi="Times New Roman" w:eastAsia="宋体" w:cs="Times New Roman"/>
                <w:color w:val="auto"/>
                <w:kern w:val="2"/>
                <w:sz w:val="21"/>
                <w:szCs w:val="21"/>
                <w:vertAlign w:val="baseline"/>
                <w:lang w:val="en-US" w:eastAsia="zh-CN" w:bidi="ar-SA"/>
              </w:rPr>
              <w:t>现场检查</w:t>
            </w:r>
          </w:p>
        </w:tc>
        <w:tc>
          <w:tcPr>
            <w:tcW w:w="1017" w:type="dxa"/>
            <w:vAlign w:val="center"/>
          </w:tcPr>
          <w:p w14:paraId="2638E154">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不涉及</w:t>
            </w:r>
          </w:p>
        </w:tc>
        <w:tc>
          <w:tcPr>
            <w:tcW w:w="696" w:type="dxa"/>
            <w:vAlign w:val="center"/>
          </w:tcPr>
          <w:p w14:paraId="413339F6">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2</w:t>
            </w:r>
          </w:p>
        </w:tc>
        <w:tc>
          <w:tcPr>
            <w:tcW w:w="933" w:type="dxa"/>
            <w:vAlign w:val="center"/>
          </w:tcPr>
          <w:p w14:paraId="00B9F32E">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s="Times New Roman"/>
                <w:color w:val="auto"/>
                <w:kern w:val="2"/>
                <w:sz w:val="21"/>
                <w:szCs w:val="21"/>
                <w:vertAlign w:val="baseline"/>
                <w:lang w:val="en-US" w:eastAsia="zh-CN" w:bidi="ar-SA"/>
              </w:rPr>
              <w:t>不符合不得分</w:t>
            </w:r>
          </w:p>
        </w:tc>
        <w:tc>
          <w:tcPr>
            <w:tcW w:w="633" w:type="dxa"/>
            <w:vAlign w:val="center"/>
          </w:tcPr>
          <w:p w14:paraId="18D5BC0C">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w:t>
            </w:r>
          </w:p>
        </w:tc>
      </w:tr>
      <w:tr w14:paraId="275D6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91" w:type="dxa"/>
            <w:vMerge w:val="continue"/>
            <w:vAlign w:val="center"/>
          </w:tcPr>
          <w:p w14:paraId="061F1E25">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p>
        </w:tc>
        <w:tc>
          <w:tcPr>
            <w:tcW w:w="2854" w:type="dxa"/>
            <w:vAlign w:val="center"/>
          </w:tcPr>
          <w:p w14:paraId="7FCDB87E">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1.</w:t>
            </w:r>
            <w:r>
              <w:rPr>
                <w:rFonts w:hint="eastAsia"/>
                <w:color w:val="auto"/>
                <w:sz w:val="21"/>
                <w:szCs w:val="21"/>
                <w:vertAlign w:val="baseline"/>
                <w:lang w:val="en-US" w:eastAsia="zh-CN"/>
              </w:rPr>
              <w:t>1.2 在受地下开采影响范围内进行露天开采时，如不采取技术措施，不应同时进行露天开采。</w:t>
            </w:r>
          </w:p>
        </w:tc>
        <w:tc>
          <w:tcPr>
            <w:tcW w:w="1548" w:type="dxa"/>
            <w:vAlign w:val="center"/>
          </w:tcPr>
          <w:p w14:paraId="1D02379C">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GB16423-2020</w:t>
            </w:r>
          </w:p>
          <w:p w14:paraId="2856689F">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5.1.</w:t>
            </w:r>
            <w:r>
              <w:rPr>
                <w:rFonts w:hint="eastAsia" w:ascii="Times New Roman" w:hAnsi="Times New Roman" w:eastAsia="宋体" w:cs="Times New Roman"/>
                <w:color w:val="auto"/>
                <w:kern w:val="2"/>
                <w:sz w:val="21"/>
                <w:szCs w:val="21"/>
                <w:vertAlign w:val="baseline"/>
                <w:lang w:val="en-US" w:eastAsia="zh-CN" w:bidi="ar-SA"/>
              </w:rPr>
              <w:t>2</w:t>
            </w:r>
          </w:p>
        </w:tc>
        <w:tc>
          <w:tcPr>
            <w:tcW w:w="1099" w:type="dxa"/>
            <w:vAlign w:val="center"/>
          </w:tcPr>
          <w:p w14:paraId="25327708">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查看图纸</w:t>
            </w:r>
          </w:p>
          <w:p w14:paraId="0285FEFA">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default" w:ascii="Times New Roman" w:hAnsi="Times New Roman" w:eastAsia="宋体" w:cs="Times New Roman"/>
                <w:color w:val="auto"/>
                <w:kern w:val="2"/>
                <w:sz w:val="21"/>
                <w:szCs w:val="21"/>
                <w:vertAlign w:val="baseline"/>
                <w:lang w:val="en-US" w:eastAsia="zh-CN" w:bidi="ar-SA"/>
              </w:rPr>
              <w:t>现场检查</w:t>
            </w:r>
          </w:p>
        </w:tc>
        <w:tc>
          <w:tcPr>
            <w:tcW w:w="1017" w:type="dxa"/>
            <w:vAlign w:val="center"/>
          </w:tcPr>
          <w:p w14:paraId="2F2454A9">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不涉及</w:t>
            </w:r>
          </w:p>
        </w:tc>
        <w:tc>
          <w:tcPr>
            <w:tcW w:w="696" w:type="dxa"/>
            <w:vAlign w:val="center"/>
          </w:tcPr>
          <w:p w14:paraId="73200E30">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2</w:t>
            </w:r>
          </w:p>
        </w:tc>
        <w:tc>
          <w:tcPr>
            <w:tcW w:w="933" w:type="dxa"/>
            <w:vAlign w:val="center"/>
          </w:tcPr>
          <w:p w14:paraId="6116CC25">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s="Times New Roman"/>
                <w:color w:val="auto"/>
                <w:kern w:val="2"/>
                <w:sz w:val="21"/>
                <w:szCs w:val="21"/>
                <w:vertAlign w:val="baseline"/>
                <w:lang w:val="en-US" w:eastAsia="zh-CN" w:bidi="ar-SA"/>
              </w:rPr>
              <w:t>不符合不得分</w:t>
            </w:r>
          </w:p>
        </w:tc>
        <w:tc>
          <w:tcPr>
            <w:tcW w:w="633" w:type="dxa"/>
            <w:vAlign w:val="center"/>
          </w:tcPr>
          <w:p w14:paraId="0B100E8E">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w:t>
            </w:r>
          </w:p>
        </w:tc>
      </w:tr>
      <w:tr w14:paraId="2FF82B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jc w:val="center"/>
        </w:trPr>
        <w:tc>
          <w:tcPr>
            <w:tcW w:w="591" w:type="dxa"/>
            <w:vMerge w:val="continue"/>
            <w:vAlign w:val="center"/>
          </w:tcPr>
          <w:p w14:paraId="3E260A89">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p>
        </w:tc>
        <w:tc>
          <w:tcPr>
            <w:tcW w:w="2854" w:type="dxa"/>
            <w:vAlign w:val="center"/>
          </w:tcPr>
          <w:p w14:paraId="34155B28">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1.1.3 地下开采转为露天开采时，应确定全部地下工程和矿柱的位置并绘制在矿山平、剖面对照图上；开采前应处理对露天开采安全有威胁的地下工程和采空区，不能处理的，就采取安全措施并在开采过程中处理。</w:t>
            </w:r>
          </w:p>
        </w:tc>
        <w:tc>
          <w:tcPr>
            <w:tcW w:w="1548" w:type="dxa"/>
            <w:vAlign w:val="center"/>
          </w:tcPr>
          <w:p w14:paraId="2C373908">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GB16423-2020</w:t>
            </w:r>
          </w:p>
          <w:p w14:paraId="1CB7229F">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5.1.</w:t>
            </w:r>
            <w:r>
              <w:rPr>
                <w:rFonts w:hint="eastAsia" w:ascii="Times New Roman" w:hAnsi="Times New Roman" w:eastAsia="宋体" w:cs="Times New Roman"/>
                <w:color w:val="auto"/>
                <w:kern w:val="2"/>
                <w:sz w:val="21"/>
                <w:szCs w:val="21"/>
                <w:vertAlign w:val="baseline"/>
                <w:lang w:val="en-US" w:eastAsia="zh-CN" w:bidi="ar-SA"/>
              </w:rPr>
              <w:t>3</w:t>
            </w:r>
          </w:p>
        </w:tc>
        <w:tc>
          <w:tcPr>
            <w:tcW w:w="1099" w:type="dxa"/>
            <w:vAlign w:val="center"/>
          </w:tcPr>
          <w:p w14:paraId="7B20B055">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查看图纸</w:t>
            </w:r>
          </w:p>
          <w:p w14:paraId="23E098AB">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现场检查</w:t>
            </w:r>
          </w:p>
        </w:tc>
        <w:tc>
          <w:tcPr>
            <w:tcW w:w="1017" w:type="dxa"/>
            <w:vAlign w:val="center"/>
          </w:tcPr>
          <w:p w14:paraId="2E4039B3">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不涉及</w:t>
            </w:r>
          </w:p>
        </w:tc>
        <w:tc>
          <w:tcPr>
            <w:tcW w:w="696" w:type="dxa"/>
            <w:vAlign w:val="center"/>
          </w:tcPr>
          <w:p w14:paraId="115990DE">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3</w:t>
            </w:r>
          </w:p>
        </w:tc>
        <w:tc>
          <w:tcPr>
            <w:tcW w:w="933" w:type="dxa"/>
            <w:vAlign w:val="center"/>
          </w:tcPr>
          <w:p w14:paraId="3C9B8021">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不符合不得分</w:t>
            </w:r>
          </w:p>
        </w:tc>
        <w:tc>
          <w:tcPr>
            <w:tcW w:w="633" w:type="dxa"/>
            <w:vAlign w:val="center"/>
          </w:tcPr>
          <w:p w14:paraId="1939C61A">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w:t>
            </w:r>
          </w:p>
        </w:tc>
      </w:tr>
      <w:tr w14:paraId="12946A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0" w:hRule="atLeast"/>
          <w:jc w:val="center"/>
        </w:trPr>
        <w:tc>
          <w:tcPr>
            <w:tcW w:w="591" w:type="dxa"/>
            <w:vMerge w:val="continue"/>
            <w:vAlign w:val="center"/>
          </w:tcPr>
          <w:p w14:paraId="4C6E0D7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p>
        </w:tc>
        <w:tc>
          <w:tcPr>
            <w:tcW w:w="2854" w:type="dxa"/>
            <w:vAlign w:val="center"/>
          </w:tcPr>
          <w:p w14:paraId="2B48AFAE">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 xml:space="preserve">1.1.4 </w:t>
            </w:r>
            <w:r>
              <w:rPr>
                <w:rFonts w:hint="default"/>
                <w:color w:val="auto"/>
                <w:sz w:val="21"/>
                <w:szCs w:val="21"/>
                <w:vertAlign w:val="baseline"/>
                <w:lang w:val="en-US" w:eastAsia="zh-CN"/>
              </w:rPr>
              <w:t>露天与地下同时开采时，应分析露天开采与地下开采的相互影响并采取有效的安全措施。露天和井下同时爆破影响安全时，不应同时爆破。</w:t>
            </w:r>
          </w:p>
        </w:tc>
        <w:tc>
          <w:tcPr>
            <w:tcW w:w="1548" w:type="dxa"/>
            <w:vAlign w:val="center"/>
          </w:tcPr>
          <w:p w14:paraId="26E8AD0E">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GB16423-2020</w:t>
            </w:r>
          </w:p>
          <w:p w14:paraId="6EDF36FF">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5.1.</w:t>
            </w:r>
            <w:r>
              <w:rPr>
                <w:rFonts w:hint="eastAsia" w:ascii="Times New Roman" w:hAnsi="Times New Roman" w:eastAsia="宋体" w:cs="Times New Roman"/>
                <w:color w:val="auto"/>
                <w:kern w:val="2"/>
                <w:sz w:val="21"/>
                <w:szCs w:val="21"/>
                <w:vertAlign w:val="baseline"/>
                <w:lang w:val="en-US" w:eastAsia="zh-CN" w:bidi="ar-SA"/>
              </w:rPr>
              <w:t>4</w:t>
            </w:r>
          </w:p>
        </w:tc>
        <w:tc>
          <w:tcPr>
            <w:tcW w:w="1099" w:type="dxa"/>
            <w:vAlign w:val="center"/>
          </w:tcPr>
          <w:p w14:paraId="0A3902A4">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查看图纸</w:t>
            </w:r>
          </w:p>
          <w:p w14:paraId="6441C879">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现场检查</w:t>
            </w:r>
          </w:p>
        </w:tc>
        <w:tc>
          <w:tcPr>
            <w:tcW w:w="1017" w:type="dxa"/>
            <w:vAlign w:val="center"/>
          </w:tcPr>
          <w:p w14:paraId="213918F4">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不涉及</w:t>
            </w:r>
          </w:p>
        </w:tc>
        <w:tc>
          <w:tcPr>
            <w:tcW w:w="696" w:type="dxa"/>
            <w:vAlign w:val="center"/>
          </w:tcPr>
          <w:p w14:paraId="166843FE">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3</w:t>
            </w:r>
          </w:p>
        </w:tc>
        <w:tc>
          <w:tcPr>
            <w:tcW w:w="933" w:type="dxa"/>
            <w:vAlign w:val="center"/>
          </w:tcPr>
          <w:p w14:paraId="0BEC859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不符合不得分</w:t>
            </w:r>
          </w:p>
        </w:tc>
        <w:tc>
          <w:tcPr>
            <w:tcW w:w="633" w:type="dxa"/>
            <w:vAlign w:val="center"/>
          </w:tcPr>
          <w:p w14:paraId="6FCA5D3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w:t>
            </w:r>
          </w:p>
        </w:tc>
      </w:tr>
      <w:tr w14:paraId="6C6EBD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591" w:type="dxa"/>
            <w:vMerge w:val="continue"/>
            <w:vAlign w:val="center"/>
          </w:tcPr>
          <w:p w14:paraId="283DF57F">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p>
        </w:tc>
        <w:tc>
          <w:tcPr>
            <w:tcW w:w="2854" w:type="dxa"/>
            <w:vAlign w:val="center"/>
          </w:tcPr>
          <w:p w14:paraId="7C687C7C">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 xml:space="preserve">1.1.5 </w:t>
            </w:r>
            <w:r>
              <w:rPr>
                <w:rFonts w:hint="default"/>
                <w:color w:val="auto"/>
                <w:sz w:val="21"/>
                <w:szCs w:val="21"/>
                <w:vertAlign w:val="baseline"/>
                <w:lang w:val="en-US" w:eastAsia="zh-CN"/>
              </w:rPr>
              <w:t>下列区域内不得设置有人员值守的建构筑物</w:t>
            </w:r>
            <w:r>
              <w:rPr>
                <w:rFonts w:hint="eastAsia"/>
                <w:color w:val="auto"/>
                <w:sz w:val="21"/>
                <w:szCs w:val="21"/>
                <w:vertAlign w:val="baseline"/>
                <w:lang w:val="en-US" w:eastAsia="zh-CN"/>
              </w:rPr>
              <w:t>；</w:t>
            </w:r>
            <w:r>
              <w:rPr>
                <w:rFonts w:hint="default"/>
                <w:color w:val="auto"/>
                <w:sz w:val="21"/>
                <w:szCs w:val="21"/>
                <w:vertAlign w:val="baseline"/>
                <w:lang w:val="en-US" w:eastAsia="zh-CN"/>
              </w:rPr>
              <w:t>受露天爆破威胁区域；储存爆破器材的危险区域；矿山防洪区域；受岩体变形、塌陷、滑坡、泥石流等地质灾害影响区域。</w:t>
            </w:r>
          </w:p>
        </w:tc>
        <w:tc>
          <w:tcPr>
            <w:tcW w:w="1548" w:type="dxa"/>
            <w:vAlign w:val="center"/>
          </w:tcPr>
          <w:p w14:paraId="128AA723">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GB16423-2020</w:t>
            </w:r>
          </w:p>
          <w:p w14:paraId="1ECEFAE8">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5.1.</w:t>
            </w:r>
            <w:r>
              <w:rPr>
                <w:rFonts w:hint="eastAsia" w:ascii="Times New Roman" w:hAnsi="Times New Roman" w:eastAsia="宋体" w:cs="Times New Roman"/>
                <w:color w:val="auto"/>
                <w:kern w:val="2"/>
                <w:sz w:val="21"/>
                <w:szCs w:val="21"/>
                <w:vertAlign w:val="baseline"/>
                <w:lang w:val="en-US" w:eastAsia="zh-CN" w:bidi="ar-SA"/>
              </w:rPr>
              <w:t>5</w:t>
            </w:r>
          </w:p>
        </w:tc>
        <w:tc>
          <w:tcPr>
            <w:tcW w:w="1099" w:type="dxa"/>
            <w:vAlign w:val="center"/>
          </w:tcPr>
          <w:p w14:paraId="4A7C537F">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查看图纸</w:t>
            </w:r>
          </w:p>
          <w:p w14:paraId="4F0E0779">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现场检查</w:t>
            </w:r>
          </w:p>
        </w:tc>
        <w:tc>
          <w:tcPr>
            <w:tcW w:w="1017" w:type="dxa"/>
            <w:vAlign w:val="center"/>
          </w:tcPr>
          <w:p w14:paraId="6D9CD74B">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符合</w:t>
            </w:r>
          </w:p>
        </w:tc>
        <w:tc>
          <w:tcPr>
            <w:tcW w:w="696" w:type="dxa"/>
            <w:vAlign w:val="center"/>
          </w:tcPr>
          <w:p w14:paraId="6C74FFCC">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2</w:t>
            </w:r>
          </w:p>
        </w:tc>
        <w:tc>
          <w:tcPr>
            <w:tcW w:w="933" w:type="dxa"/>
            <w:vAlign w:val="center"/>
          </w:tcPr>
          <w:p w14:paraId="68B7385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不符合不得分</w:t>
            </w:r>
          </w:p>
        </w:tc>
        <w:tc>
          <w:tcPr>
            <w:tcW w:w="633" w:type="dxa"/>
            <w:vAlign w:val="center"/>
          </w:tcPr>
          <w:p w14:paraId="08F9B2D6">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2</w:t>
            </w:r>
          </w:p>
        </w:tc>
      </w:tr>
      <w:tr w14:paraId="180B3E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591" w:type="dxa"/>
            <w:vMerge w:val="continue"/>
            <w:vAlign w:val="center"/>
          </w:tcPr>
          <w:p w14:paraId="1C99705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p>
        </w:tc>
        <w:tc>
          <w:tcPr>
            <w:tcW w:w="2854" w:type="dxa"/>
            <w:vAlign w:val="center"/>
          </w:tcPr>
          <w:p w14:paraId="50650851">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 xml:space="preserve">1.1.6 </w:t>
            </w:r>
            <w:r>
              <w:rPr>
                <w:rFonts w:hint="default"/>
                <w:color w:val="auto"/>
                <w:sz w:val="21"/>
                <w:szCs w:val="21"/>
                <w:vertAlign w:val="baseline"/>
                <w:lang w:val="en-US" w:eastAsia="zh-CN"/>
              </w:rPr>
              <w:t>设计规定保留的矿（岩）柱、挂帮矿体，在规定的期限内，未经技术论证，不得开采或破坏。</w:t>
            </w:r>
          </w:p>
        </w:tc>
        <w:tc>
          <w:tcPr>
            <w:tcW w:w="1548" w:type="dxa"/>
            <w:vAlign w:val="center"/>
          </w:tcPr>
          <w:p w14:paraId="6FCCD3BC">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GB16423-2020</w:t>
            </w:r>
          </w:p>
          <w:p w14:paraId="4F5F3AC9">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5.1.1</w:t>
            </w:r>
            <w:r>
              <w:rPr>
                <w:rFonts w:hint="eastAsia" w:ascii="Times New Roman" w:hAnsi="Times New Roman" w:eastAsia="宋体" w:cs="Times New Roman"/>
                <w:color w:val="auto"/>
                <w:kern w:val="2"/>
                <w:sz w:val="21"/>
                <w:szCs w:val="21"/>
                <w:vertAlign w:val="baseline"/>
                <w:lang w:val="en-US" w:eastAsia="zh-CN" w:bidi="ar-SA"/>
              </w:rPr>
              <w:t>7</w:t>
            </w:r>
          </w:p>
        </w:tc>
        <w:tc>
          <w:tcPr>
            <w:tcW w:w="1099" w:type="dxa"/>
            <w:vAlign w:val="center"/>
          </w:tcPr>
          <w:p w14:paraId="17BD4F59">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现场检查</w:t>
            </w:r>
          </w:p>
        </w:tc>
        <w:tc>
          <w:tcPr>
            <w:tcW w:w="1017" w:type="dxa"/>
            <w:vAlign w:val="center"/>
          </w:tcPr>
          <w:p w14:paraId="7B207018">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不涉及</w:t>
            </w:r>
          </w:p>
        </w:tc>
        <w:tc>
          <w:tcPr>
            <w:tcW w:w="696" w:type="dxa"/>
            <w:vAlign w:val="center"/>
          </w:tcPr>
          <w:p w14:paraId="60EE3465">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2</w:t>
            </w:r>
          </w:p>
        </w:tc>
        <w:tc>
          <w:tcPr>
            <w:tcW w:w="933" w:type="dxa"/>
            <w:vAlign w:val="center"/>
          </w:tcPr>
          <w:p w14:paraId="040BAD50">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不符合不得分</w:t>
            </w:r>
          </w:p>
        </w:tc>
        <w:tc>
          <w:tcPr>
            <w:tcW w:w="633" w:type="dxa"/>
            <w:vAlign w:val="center"/>
          </w:tcPr>
          <w:p w14:paraId="24767619">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w:t>
            </w:r>
          </w:p>
        </w:tc>
      </w:tr>
      <w:tr w14:paraId="7C9EF9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591" w:type="dxa"/>
            <w:vMerge w:val="continue"/>
            <w:vAlign w:val="center"/>
          </w:tcPr>
          <w:p w14:paraId="140F11E7">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p>
        </w:tc>
        <w:tc>
          <w:tcPr>
            <w:tcW w:w="2854" w:type="dxa"/>
            <w:vAlign w:val="center"/>
          </w:tcPr>
          <w:p w14:paraId="7D6DAB91">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 xml:space="preserve">1.1.7 </w:t>
            </w:r>
            <w:r>
              <w:rPr>
                <w:rFonts w:hint="default"/>
                <w:color w:val="auto"/>
                <w:sz w:val="21"/>
                <w:szCs w:val="21"/>
                <w:vertAlign w:val="baseline"/>
                <w:lang w:val="en-US" w:eastAsia="zh-CN"/>
              </w:rPr>
              <w:t>深凹露天矿的总出入口位置，应按排土场和工业场地的相对位置、标高、地形等条件确定；大型深凹露天矿，宜设两个出入口。</w:t>
            </w:r>
          </w:p>
        </w:tc>
        <w:tc>
          <w:tcPr>
            <w:tcW w:w="1548" w:type="dxa"/>
            <w:vAlign w:val="center"/>
          </w:tcPr>
          <w:p w14:paraId="3E8F2101">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GB16423-2020</w:t>
            </w:r>
          </w:p>
          <w:p w14:paraId="0BEDFF19">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val="en-US" w:eastAsia="zh-CN" w:bidi="ar-SA"/>
              </w:rPr>
              <w:t>7.4.7</w:t>
            </w:r>
          </w:p>
        </w:tc>
        <w:tc>
          <w:tcPr>
            <w:tcW w:w="1099" w:type="dxa"/>
            <w:vAlign w:val="center"/>
          </w:tcPr>
          <w:p w14:paraId="2FB5C1E5">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现场检查</w:t>
            </w:r>
          </w:p>
        </w:tc>
        <w:tc>
          <w:tcPr>
            <w:tcW w:w="1017" w:type="dxa"/>
            <w:vAlign w:val="center"/>
          </w:tcPr>
          <w:p w14:paraId="2F430E51">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不涉及</w:t>
            </w:r>
          </w:p>
        </w:tc>
        <w:tc>
          <w:tcPr>
            <w:tcW w:w="696" w:type="dxa"/>
            <w:vAlign w:val="center"/>
          </w:tcPr>
          <w:p w14:paraId="6ACC70C1">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2</w:t>
            </w:r>
          </w:p>
        </w:tc>
        <w:tc>
          <w:tcPr>
            <w:tcW w:w="933" w:type="dxa"/>
            <w:vAlign w:val="center"/>
          </w:tcPr>
          <w:p w14:paraId="322DAF39">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不符合不得分</w:t>
            </w:r>
          </w:p>
        </w:tc>
        <w:tc>
          <w:tcPr>
            <w:tcW w:w="633" w:type="dxa"/>
            <w:vAlign w:val="center"/>
          </w:tcPr>
          <w:p w14:paraId="4CCA584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w:t>
            </w:r>
          </w:p>
        </w:tc>
      </w:tr>
      <w:tr w14:paraId="197093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591" w:type="dxa"/>
            <w:vMerge w:val="continue"/>
            <w:vAlign w:val="center"/>
          </w:tcPr>
          <w:p w14:paraId="34B17E49">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p>
        </w:tc>
        <w:tc>
          <w:tcPr>
            <w:tcW w:w="2854" w:type="dxa"/>
            <w:vAlign w:val="center"/>
          </w:tcPr>
          <w:p w14:paraId="26865DAC">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1.2 露天开采</w:t>
            </w:r>
            <w:r>
              <w:rPr>
                <w:rFonts w:hint="eastAsia"/>
                <w:color w:val="auto"/>
                <w:sz w:val="21"/>
                <w:szCs w:val="21"/>
                <w:vertAlign w:val="baseline"/>
                <w:lang w:val="en-US" w:eastAsia="zh-CN"/>
              </w:rPr>
              <w:t>。</w:t>
            </w:r>
          </w:p>
          <w:p w14:paraId="362EE968">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1.2.1 露天矿山应采用自上而下的顺序，分台阶开采。</w:t>
            </w:r>
          </w:p>
        </w:tc>
        <w:tc>
          <w:tcPr>
            <w:tcW w:w="1548" w:type="dxa"/>
            <w:vAlign w:val="center"/>
          </w:tcPr>
          <w:p w14:paraId="4BF3EFE8">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GB16423-2020</w:t>
            </w:r>
          </w:p>
          <w:p w14:paraId="58F0C9C4">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5.2.1.1</w:t>
            </w:r>
          </w:p>
        </w:tc>
        <w:tc>
          <w:tcPr>
            <w:tcW w:w="1099" w:type="dxa"/>
            <w:vAlign w:val="center"/>
          </w:tcPr>
          <w:p w14:paraId="0EEB8916">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查看图纸</w:t>
            </w:r>
          </w:p>
          <w:p w14:paraId="2B4A04A8">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现场检查</w:t>
            </w:r>
          </w:p>
        </w:tc>
        <w:tc>
          <w:tcPr>
            <w:tcW w:w="1017" w:type="dxa"/>
            <w:vAlign w:val="center"/>
          </w:tcPr>
          <w:p w14:paraId="07A9451E">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符合</w:t>
            </w:r>
          </w:p>
        </w:tc>
        <w:tc>
          <w:tcPr>
            <w:tcW w:w="696" w:type="dxa"/>
            <w:vAlign w:val="center"/>
          </w:tcPr>
          <w:p w14:paraId="3824AC3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3</w:t>
            </w:r>
          </w:p>
        </w:tc>
        <w:tc>
          <w:tcPr>
            <w:tcW w:w="933" w:type="dxa"/>
            <w:vAlign w:val="center"/>
          </w:tcPr>
          <w:p w14:paraId="1ECA13E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不符合不得分</w:t>
            </w:r>
          </w:p>
        </w:tc>
        <w:tc>
          <w:tcPr>
            <w:tcW w:w="633" w:type="dxa"/>
            <w:vAlign w:val="center"/>
          </w:tcPr>
          <w:p w14:paraId="1A2EF1E0">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3</w:t>
            </w:r>
          </w:p>
        </w:tc>
      </w:tr>
      <w:tr w14:paraId="45C56A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591" w:type="dxa"/>
            <w:vMerge w:val="continue"/>
            <w:vAlign w:val="center"/>
          </w:tcPr>
          <w:p w14:paraId="3A05FA0E">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p>
        </w:tc>
        <w:tc>
          <w:tcPr>
            <w:tcW w:w="2854" w:type="dxa"/>
            <w:vAlign w:val="center"/>
          </w:tcPr>
          <w:p w14:paraId="2FA17CB4">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1.2.2 台阶高度：</w:t>
            </w:r>
          </w:p>
          <w:p w14:paraId="50E61A7A">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不爆破时，不大于机械的最大挖掘高度。</w:t>
            </w:r>
          </w:p>
          <w:p w14:paraId="2E55007B">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爆破时，不大于机械的最大挖掘高度的1.5倍。</w:t>
            </w:r>
          </w:p>
        </w:tc>
        <w:tc>
          <w:tcPr>
            <w:tcW w:w="1548" w:type="dxa"/>
            <w:vAlign w:val="center"/>
          </w:tcPr>
          <w:p w14:paraId="34993BE9">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GB16423-2020</w:t>
            </w:r>
          </w:p>
          <w:p w14:paraId="7C4096CE">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5.2.1.1</w:t>
            </w:r>
          </w:p>
        </w:tc>
        <w:tc>
          <w:tcPr>
            <w:tcW w:w="1099" w:type="dxa"/>
            <w:vAlign w:val="center"/>
          </w:tcPr>
          <w:p w14:paraId="0FD589B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查看图纸</w:t>
            </w:r>
          </w:p>
          <w:p w14:paraId="4160093F">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现场检查</w:t>
            </w:r>
          </w:p>
        </w:tc>
        <w:tc>
          <w:tcPr>
            <w:tcW w:w="1017" w:type="dxa"/>
            <w:vAlign w:val="center"/>
          </w:tcPr>
          <w:p w14:paraId="611E5B5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符合</w:t>
            </w:r>
          </w:p>
        </w:tc>
        <w:tc>
          <w:tcPr>
            <w:tcW w:w="696" w:type="dxa"/>
            <w:vAlign w:val="center"/>
          </w:tcPr>
          <w:p w14:paraId="36B112A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3</w:t>
            </w:r>
          </w:p>
        </w:tc>
        <w:tc>
          <w:tcPr>
            <w:tcW w:w="933" w:type="dxa"/>
            <w:vAlign w:val="center"/>
          </w:tcPr>
          <w:p w14:paraId="5FE3B43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不符合不得分</w:t>
            </w:r>
          </w:p>
        </w:tc>
        <w:tc>
          <w:tcPr>
            <w:tcW w:w="633" w:type="dxa"/>
            <w:vAlign w:val="center"/>
          </w:tcPr>
          <w:p w14:paraId="52C156A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3</w:t>
            </w:r>
          </w:p>
        </w:tc>
      </w:tr>
      <w:tr w14:paraId="70ABDE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91" w:type="dxa"/>
            <w:vMerge w:val="continue"/>
            <w:vAlign w:val="center"/>
          </w:tcPr>
          <w:p w14:paraId="5141CFE1">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p>
        </w:tc>
        <w:tc>
          <w:tcPr>
            <w:tcW w:w="2854" w:type="dxa"/>
            <w:vAlign w:val="center"/>
          </w:tcPr>
          <w:p w14:paraId="327E96DE">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1.2.3 露天矿山应采用机械方式进行开采。</w:t>
            </w:r>
          </w:p>
        </w:tc>
        <w:tc>
          <w:tcPr>
            <w:tcW w:w="1548" w:type="dxa"/>
            <w:vAlign w:val="center"/>
          </w:tcPr>
          <w:p w14:paraId="1E4AD60D">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GB16423-2020</w:t>
            </w:r>
          </w:p>
          <w:p w14:paraId="0F84976B">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5.2.1.</w:t>
            </w:r>
            <w:r>
              <w:rPr>
                <w:rFonts w:hint="eastAsia" w:ascii="Times New Roman" w:hAnsi="Times New Roman" w:eastAsia="宋体" w:cs="Times New Roman"/>
                <w:color w:val="auto"/>
                <w:kern w:val="2"/>
                <w:sz w:val="21"/>
                <w:szCs w:val="21"/>
                <w:vertAlign w:val="baseline"/>
                <w:lang w:val="en-US" w:eastAsia="zh-CN" w:bidi="ar-SA"/>
              </w:rPr>
              <w:t>2</w:t>
            </w:r>
          </w:p>
        </w:tc>
        <w:tc>
          <w:tcPr>
            <w:tcW w:w="1099" w:type="dxa"/>
            <w:vAlign w:val="center"/>
          </w:tcPr>
          <w:p w14:paraId="45E963EA">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现场检查</w:t>
            </w:r>
          </w:p>
        </w:tc>
        <w:tc>
          <w:tcPr>
            <w:tcW w:w="1017" w:type="dxa"/>
            <w:vAlign w:val="center"/>
          </w:tcPr>
          <w:p w14:paraId="1E5ABB77">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符合</w:t>
            </w:r>
          </w:p>
        </w:tc>
        <w:tc>
          <w:tcPr>
            <w:tcW w:w="696" w:type="dxa"/>
            <w:vAlign w:val="center"/>
          </w:tcPr>
          <w:p w14:paraId="397F5F8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3</w:t>
            </w:r>
          </w:p>
        </w:tc>
        <w:tc>
          <w:tcPr>
            <w:tcW w:w="933" w:type="dxa"/>
            <w:vAlign w:val="center"/>
          </w:tcPr>
          <w:p w14:paraId="3FD5426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不符合不得分</w:t>
            </w:r>
          </w:p>
        </w:tc>
        <w:tc>
          <w:tcPr>
            <w:tcW w:w="633" w:type="dxa"/>
            <w:vAlign w:val="center"/>
          </w:tcPr>
          <w:p w14:paraId="594B45D4">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3</w:t>
            </w:r>
          </w:p>
        </w:tc>
      </w:tr>
      <w:tr w14:paraId="637C0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591" w:type="dxa"/>
            <w:vMerge w:val="continue"/>
            <w:vAlign w:val="center"/>
          </w:tcPr>
          <w:p w14:paraId="7646037E">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p>
        </w:tc>
        <w:tc>
          <w:tcPr>
            <w:tcW w:w="2854" w:type="dxa"/>
            <w:vAlign w:val="center"/>
          </w:tcPr>
          <w:p w14:paraId="4672059D">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1.2.4 多台阶并段时并段数量不超过3个，且不应影响边坡稳定性及下部作业安全。</w:t>
            </w:r>
          </w:p>
        </w:tc>
        <w:tc>
          <w:tcPr>
            <w:tcW w:w="1548" w:type="dxa"/>
            <w:vAlign w:val="center"/>
          </w:tcPr>
          <w:p w14:paraId="0574933A">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GB16423-2020</w:t>
            </w:r>
          </w:p>
          <w:p w14:paraId="1EE6EDFB">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5.2.1.</w:t>
            </w:r>
            <w:r>
              <w:rPr>
                <w:rFonts w:hint="eastAsia" w:ascii="Times New Roman" w:hAnsi="Times New Roman" w:eastAsia="宋体" w:cs="Times New Roman"/>
                <w:color w:val="auto"/>
                <w:kern w:val="2"/>
                <w:sz w:val="21"/>
                <w:szCs w:val="21"/>
                <w:vertAlign w:val="baseline"/>
                <w:lang w:val="en-US" w:eastAsia="zh-CN" w:bidi="ar-SA"/>
              </w:rPr>
              <w:t>3</w:t>
            </w:r>
          </w:p>
        </w:tc>
        <w:tc>
          <w:tcPr>
            <w:tcW w:w="1099" w:type="dxa"/>
            <w:vAlign w:val="center"/>
          </w:tcPr>
          <w:p w14:paraId="5E59904D">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查看图纸</w:t>
            </w:r>
          </w:p>
          <w:p w14:paraId="617373EA">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现场检查</w:t>
            </w:r>
          </w:p>
        </w:tc>
        <w:tc>
          <w:tcPr>
            <w:tcW w:w="1017" w:type="dxa"/>
            <w:vAlign w:val="center"/>
          </w:tcPr>
          <w:p w14:paraId="5411C963">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不涉及并段</w:t>
            </w:r>
          </w:p>
        </w:tc>
        <w:tc>
          <w:tcPr>
            <w:tcW w:w="696" w:type="dxa"/>
            <w:vAlign w:val="center"/>
          </w:tcPr>
          <w:p w14:paraId="12977DC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2</w:t>
            </w:r>
          </w:p>
        </w:tc>
        <w:tc>
          <w:tcPr>
            <w:tcW w:w="933" w:type="dxa"/>
            <w:vAlign w:val="center"/>
          </w:tcPr>
          <w:p w14:paraId="4D1454B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不符合不得分</w:t>
            </w:r>
          </w:p>
        </w:tc>
        <w:tc>
          <w:tcPr>
            <w:tcW w:w="633" w:type="dxa"/>
            <w:vAlign w:val="center"/>
          </w:tcPr>
          <w:p w14:paraId="57E8CD7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w:t>
            </w:r>
          </w:p>
        </w:tc>
      </w:tr>
      <w:tr w14:paraId="406CA4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jc w:val="center"/>
        </w:trPr>
        <w:tc>
          <w:tcPr>
            <w:tcW w:w="591" w:type="dxa"/>
            <w:vMerge w:val="continue"/>
            <w:vAlign w:val="center"/>
          </w:tcPr>
          <w:p w14:paraId="44963454">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p>
        </w:tc>
        <w:tc>
          <w:tcPr>
            <w:tcW w:w="2854" w:type="dxa"/>
            <w:vAlign w:val="center"/>
          </w:tcPr>
          <w:p w14:paraId="3FDBC7D9">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1.2.5 露天采场应设安全平台和清扫平台。人工清扫平台宽度不小于6m，机械清扫平台宽度应满足设备要求且不小8m。</w:t>
            </w:r>
          </w:p>
        </w:tc>
        <w:tc>
          <w:tcPr>
            <w:tcW w:w="1548" w:type="dxa"/>
            <w:vAlign w:val="center"/>
          </w:tcPr>
          <w:p w14:paraId="7E23D679">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GB16423-2020</w:t>
            </w:r>
          </w:p>
          <w:p w14:paraId="06D00185">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5.2.1.</w:t>
            </w:r>
            <w:r>
              <w:rPr>
                <w:rFonts w:hint="eastAsia" w:ascii="Times New Roman" w:hAnsi="Times New Roman" w:eastAsia="宋体" w:cs="Times New Roman"/>
                <w:color w:val="auto"/>
                <w:kern w:val="2"/>
                <w:sz w:val="21"/>
                <w:szCs w:val="21"/>
                <w:vertAlign w:val="baseline"/>
                <w:lang w:val="en-US" w:eastAsia="zh-CN" w:bidi="ar-SA"/>
              </w:rPr>
              <w:t>4</w:t>
            </w:r>
          </w:p>
        </w:tc>
        <w:tc>
          <w:tcPr>
            <w:tcW w:w="1099" w:type="dxa"/>
            <w:vAlign w:val="center"/>
          </w:tcPr>
          <w:p w14:paraId="64F2EF56">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查看图纸</w:t>
            </w:r>
          </w:p>
          <w:p w14:paraId="18C7E157">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现场检查</w:t>
            </w:r>
          </w:p>
        </w:tc>
        <w:tc>
          <w:tcPr>
            <w:tcW w:w="1017" w:type="dxa"/>
            <w:vAlign w:val="center"/>
          </w:tcPr>
          <w:p w14:paraId="1C0B428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符合</w:t>
            </w:r>
          </w:p>
        </w:tc>
        <w:tc>
          <w:tcPr>
            <w:tcW w:w="696" w:type="dxa"/>
            <w:shd w:val="clear" w:color="auto" w:fill="auto"/>
            <w:vAlign w:val="center"/>
          </w:tcPr>
          <w:p w14:paraId="66DD76A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3</w:t>
            </w:r>
          </w:p>
        </w:tc>
        <w:tc>
          <w:tcPr>
            <w:tcW w:w="933" w:type="dxa"/>
            <w:shd w:val="clear" w:color="auto" w:fill="auto"/>
            <w:vAlign w:val="center"/>
          </w:tcPr>
          <w:p w14:paraId="73476F1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不符合不得分</w:t>
            </w:r>
          </w:p>
        </w:tc>
        <w:tc>
          <w:tcPr>
            <w:tcW w:w="633" w:type="dxa"/>
            <w:shd w:val="clear" w:color="auto" w:fill="auto"/>
            <w:vAlign w:val="center"/>
          </w:tcPr>
          <w:p w14:paraId="151442A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3</w:t>
            </w:r>
          </w:p>
        </w:tc>
      </w:tr>
      <w:tr w14:paraId="311840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591" w:type="dxa"/>
            <w:vMerge w:val="continue"/>
            <w:vAlign w:val="center"/>
          </w:tcPr>
          <w:p w14:paraId="47690677">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p>
        </w:tc>
        <w:tc>
          <w:tcPr>
            <w:tcW w:w="2854" w:type="dxa"/>
            <w:vAlign w:val="center"/>
          </w:tcPr>
          <w:p w14:paraId="78DBA19B">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1.2.</w:t>
            </w:r>
            <w:r>
              <w:rPr>
                <w:rFonts w:hint="eastAsia"/>
                <w:color w:val="auto"/>
                <w:sz w:val="21"/>
                <w:szCs w:val="21"/>
                <w:vertAlign w:val="baseline"/>
                <w:lang w:val="en-US" w:eastAsia="zh-CN"/>
              </w:rPr>
              <w:t>6</w:t>
            </w:r>
            <w:r>
              <w:rPr>
                <w:rFonts w:hint="default"/>
                <w:color w:val="auto"/>
                <w:sz w:val="21"/>
                <w:szCs w:val="21"/>
                <w:vertAlign w:val="baseline"/>
                <w:lang w:val="en-US" w:eastAsia="zh-CN"/>
              </w:rPr>
              <w:t xml:space="preserve"> 采场运输道路以及供电、通信线路均应设置在稳定区域内。</w:t>
            </w:r>
          </w:p>
        </w:tc>
        <w:tc>
          <w:tcPr>
            <w:tcW w:w="1548" w:type="dxa"/>
            <w:vAlign w:val="center"/>
          </w:tcPr>
          <w:p w14:paraId="73A1DE5D">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GB16423-2020</w:t>
            </w:r>
          </w:p>
          <w:p w14:paraId="0169F33A">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5.2.</w:t>
            </w:r>
            <w:r>
              <w:rPr>
                <w:rFonts w:hint="eastAsia" w:ascii="Times New Roman" w:hAnsi="Times New Roman" w:eastAsia="宋体" w:cs="Times New Roman"/>
                <w:color w:val="auto"/>
                <w:kern w:val="2"/>
                <w:sz w:val="21"/>
                <w:szCs w:val="21"/>
                <w:vertAlign w:val="baseline"/>
                <w:lang w:val="en-US" w:eastAsia="zh-CN" w:bidi="ar-SA"/>
              </w:rPr>
              <w:t>1.5</w:t>
            </w:r>
          </w:p>
        </w:tc>
        <w:tc>
          <w:tcPr>
            <w:tcW w:w="1099" w:type="dxa"/>
            <w:vAlign w:val="center"/>
          </w:tcPr>
          <w:p w14:paraId="04383F9F">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查看图纸</w:t>
            </w:r>
          </w:p>
          <w:p w14:paraId="66269D8C">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现场检查</w:t>
            </w:r>
          </w:p>
        </w:tc>
        <w:tc>
          <w:tcPr>
            <w:tcW w:w="1017" w:type="dxa"/>
            <w:vAlign w:val="center"/>
          </w:tcPr>
          <w:p w14:paraId="4703DB6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符合</w:t>
            </w:r>
          </w:p>
        </w:tc>
        <w:tc>
          <w:tcPr>
            <w:tcW w:w="696" w:type="dxa"/>
            <w:vAlign w:val="center"/>
          </w:tcPr>
          <w:p w14:paraId="091DF8D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3</w:t>
            </w:r>
          </w:p>
        </w:tc>
        <w:tc>
          <w:tcPr>
            <w:tcW w:w="933" w:type="dxa"/>
            <w:vAlign w:val="center"/>
          </w:tcPr>
          <w:p w14:paraId="6192D48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不符合不得分</w:t>
            </w:r>
          </w:p>
        </w:tc>
        <w:tc>
          <w:tcPr>
            <w:tcW w:w="633" w:type="dxa"/>
            <w:vAlign w:val="center"/>
          </w:tcPr>
          <w:p w14:paraId="4B1268E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3</w:t>
            </w:r>
          </w:p>
        </w:tc>
      </w:tr>
      <w:tr w14:paraId="422880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 w:hRule="atLeast"/>
          <w:jc w:val="center"/>
        </w:trPr>
        <w:tc>
          <w:tcPr>
            <w:tcW w:w="591" w:type="dxa"/>
            <w:vMerge w:val="continue"/>
            <w:vAlign w:val="center"/>
          </w:tcPr>
          <w:p w14:paraId="28457D39">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p>
        </w:tc>
        <w:tc>
          <w:tcPr>
            <w:tcW w:w="2854" w:type="dxa"/>
            <w:vAlign w:val="center"/>
          </w:tcPr>
          <w:p w14:paraId="6EAB8A91">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1.2.</w:t>
            </w:r>
            <w:r>
              <w:rPr>
                <w:rFonts w:hint="eastAsia"/>
                <w:color w:val="auto"/>
                <w:sz w:val="21"/>
                <w:szCs w:val="21"/>
                <w:vertAlign w:val="baseline"/>
                <w:lang w:val="en-US" w:eastAsia="zh-CN"/>
              </w:rPr>
              <w:t>7</w:t>
            </w:r>
            <w:r>
              <w:rPr>
                <w:rFonts w:hint="default"/>
                <w:color w:val="auto"/>
                <w:sz w:val="21"/>
                <w:szCs w:val="21"/>
                <w:vertAlign w:val="baseline"/>
                <w:lang w:val="en-US" w:eastAsia="zh-CN"/>
              </w:rPr>
              <w:t xml:space="preserve"> 多台铲装设备在同一平台上作业时，铲装设备的间距：汽车运输时，应不小于设备最大工作半径的3倍，且不小于50m。</w:t>
            </w:r>
          </w:p>
        </w:tc>
        <w:tc>
          <w:tcPr>
            <w:tcW w:w="1548" w:type="dxa"/>
            <w:vAlign w:val="center"/>
          </w:tcPr>
          <w:p w14:paraId="45A34567">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GB16423-2020</w:t>
            </w:r>
          </w:p>
          <w:p w14:paraId="042A4622">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5.2.</w:t>
            </w:r>
            <w:r>
              <w:rPr>
                <w:rFonts w:hint="eastAsia" w:ascii="Times New Roman" w:hAnsi="Times New Roman" w:eastAsia="宋体" w:cs="Times New Roman"/>
                <w:color w:val="auto"/>
                <w:kern w:val="2"/>
                <w:sz w:val="21"/>
                <w:szCs w:val="21"/>
                <w:vertAlign w:val="baseline"/>
                <w:lang w:val="en-US" w:eastAsia="zh-CN" w:bidi="ar-SA"/>
              </w:rPr>
              <w:t>3.5</w:t>
            </w:r>
          </w:p>
        </w:tc>
        <w:tc>
          <w:tcPr>
            <w:tcW w:w="1099" w:type="dxa"/>
            <w:vAlign w:val="center"/>
          </w:tcPr>
          <w:p w14:paraId="1702AEA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现场检查</w:t>
            </w:r>
          </w:p>
        </w:tc>
        <w:tc>
          <w:tcPr>
            <w:tcW w:w="1017" w:type="dxa"/>
            <w:vAlign w:val="center"/>
          </w:tcPr>
          <w:p w14:paraId="6BCA1786">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符合</w:t>
            </w:r>
          </w:p>
        </w:tc>
        <w:tc>
          <w:tcPr>
            <w:tcW w:w="696" w:type="dxa"/>
            <w:vAlign w:val="center"/>
          </w:tcPr>
          <w:p w14:paraId="11E38380">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3</w:t>
            </w:r>
          </w:p>
        </w:tc>
        <w:tc>
          <w:tcPr>
            <w:tcW w:w="933" w:type="dxa"/>
            <w:vAlign w:val="center"/>
          </w:tcPr>
          <w:p w14:paraId="72BDF23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不符合不得分</w:t>
            </w:r>
          </w:p>
        </w:tc>
        <w:tc>
          <w:tcPr>
            <w:tcW w:w="633" w:type="dxa"/>
            <w:vAlign w:val="center"/>
          </w:tcPr>
          <w:p w14:paraId="12FD796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3</w:t>
            </w:r>
          </w:p>
        </w:tc>
      </w:tr>
      <w:tr w14:paraId="067887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591" w:type="dxa"/>
            <w:vMerge w:val="continue"/>
            <w:vAlign w:val="center"/>
          </w:tcPr>
          <w:p w14:paraId="24C021D0">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p>
        </w:tc>
        <w:tc>
          <w:tcPr>
            <w:tcW w:w="2854" w:type="dxa"/>
            <w:vAlign w:val="center"/>
          </w:tcPr>
          <w:p w14:paraId="7747B81C">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1.2.</w:t>
            </w:r>
            <w:r>
              <w:rPr>
                <w:rFonts w:hint="eastAsia"/>
                <w:color w:val="auto"/>
                <w:sz w:val="21"/>
                <w:szCs w:val="21"/>
                <w:vertAlign w:val="baseline"/>
                <w:lang w:val="en-US" w:eastAsia="zh-CN"/>
              </w:rPr>
              <w:t>8</w:t>
            </w:r>
            <w:r>
              <w:rPr>
                <w:rFonts w:hint="default"/>
                <w:color w:val="auto"/>
                <w:sz w:val="21"/>
                <w:szCs w:val="21"/>
                <w:vertAlign w:val="baseline"/>
                <w:lang w:val="en-US" w:eastAsia="zh-CN"/>
              </w:rPr>
              <w:t xml:space="preserve"> 上、下台阶同时作业时，上部台阶的铲装设备应超前下部台阶铲装设备；超前距离不小于铲装设备最大工作半径的3倍，且不小于50m。</w:t>
            </w:r>
          </w:p>
        </w:tc>
        <w:tc>
          <w:tcPr>
            <w:tcW w:w="1548" w:type="dxa"/>
            <w:vAlign w:val="center"/>
          </w:tcPr>
          <w:p w14:paraId="58593FED">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GB16423-2020</w:t>
            </w:r>
          </w:p>
          <w:p w14:paraId="09857E96">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5.2.</w:t>
            </w:r>
            <w:r>
              <w:rPr>
                <w:rFonts w:hint="eastAsia" w:ascii="Times New Roman" w:hAnsi="Times New Roman" w:eastAsia="宋体" w:cs="Times New Roman"/>
                <w:color w:val="auto"/>
                <w:kern w:val="2"/>
                <w:sz w:val="21"/>
                <w:szCs w:val="21"/>
                <w:vertAlign w:val="baseline"/>
                <w:lang w:val="en-US" w:eastAsia="zh-CN" w:bidi="ar-SA"/>
              </w:rPr>
              <w:t>3.6</w:t>
            </w:r>
          </w:p>
        </w:tc>
        <w:tc>
          <w:tcPr>
            <w:tcW w:w="1099" w:type="dxa"/>
            <w:vAlign w:val="center"/>
          </w:tcPr>
          <w:p w14:paraId="55470720">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现场检查</w:t>
            </w:r>
          </w:p>
        </w:tc>
        <w:tc>
          <w:tcPr>
            <w:tcW w:w="1017" w:type="dxa"/>
            <w:vAlign w:val="center"/>
          </w:tcPr>
          <w:p w14:paraId="6F17377C">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符合</w:t>
            </w:r>
          </w:p>
        </w:tc>
        <w:tc>
          <w:tcPr>
            <w:tcW w:w="696" w:type="dxa"/>
            <w:vAlign w:val="center"/>
          </w:tcPr>
          <w:p w14:paraId="2A434B5E">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3</w:t>
            </w:r>
          </w:p>
        </w:tc>
        <w:tc>
          <w:tcPr>
            <w:tcW w:w="933" w:type="dxa"/>
            <w:vAlign w:val="center"/>
          </w:tcPr>
          <w:p w14:paraId="1BBCD18E">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不符合不得分</w:t>
            </w:r>
          </w:p>
        </w:tc>
        <w:tc>
          <w:tcPr>
            <w:tcW w:w="633" w:type="dxa"/>
            <w:vAlign w:val="center"/>
          </w:tcPr>
          <w:p w14:paraId="1F1439E8">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3</w:t>
            </w:r>
          </w:p>
        </w:tc>
      </w:tr>
      <w:tr w14:paraId="6D4B1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591" w:type="dxa"/>
            <w:vMerge w:val="continue"/>
            <w:vAlign w:val="center"/>
          </w:tcPr>
          <w:p w14:paraId="3C61488D">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p>
        </w:tc>
        <w:tc>
          <w:tcPr>
            <w:tcW w:w="2854" w:type="dxa"/>
            <w:vAlign w:val="center"/>
          </w:tcPr>
          <w:p w14:paraId="046DEEEC">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1.2.10 矿山应建立边坡安全管理和检查制度。每5年至少进行1次边坡稳定性分析。</w:t>
            </w:r>
          </w:p>
          <w:p w14:paraId="4FCCCFD9">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p>
        </w:tc>
        <w:tc>
          <w:tcPr>
            <w:tcW w:w="1548" w:type="dxa"/>
            <w:vAlign w:val="center"/>
          </w:tcPr>
          <w:p w14:paraId="4C2F46F6">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GB16423-2020</w:t>
            </w:r>
          </w:p>
          <w:p w14:paraId="5F0ACF39">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5.2.</w:t>
            </w:r>
            <w:r>
              <w:rPr>
                <w:rFonts w:hint="eastAsia" w:cs="Times New Roman"/>
                <w:color w:val="auto"/>
                <w:kern w:val="2"/>
                <w:sz w:val="21"/>
                <w:szCs w:val="21"/>
                <w:vertAlign w:val="baseline"/>
                <w:lang w:val="en-US" w:eastAsia="zh-CN" w:bidi="ar-SA"/>
              </w:rPr>
              <w:t>4</w:t>
            </w:r>
            <w:r>
              <w:rPr>
                <w:rFonts w:hint="eastAsia" w:ascii="Times New Roman" w:hAnsi="Times New Roman" w:eastAsia="宋体" w:cs="Times New Roman"/>
                <w:color w:val="auto"/>
                <w:kern w:val="2"/>
                <w:sz w:val="21"/>
                <w:szCs w:val="21"/>
                <w:vertAlign w:val="baseline"/>
                <w:lang w:val="en-US" w:eastAsia="zh-CN" w:bidi="ar-SA"/>
              </w:rPr>
              <w:t>.5</w:t>
            </w:r>
          </w:p>
          <w:p w14:paraId="6A63AE50">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p>
        </w:tc>
        <w:tc>
          <w:tcPr>
            <w:tcW w:w="1099" w:type="dxa"/>
            <w:vAlign w:val="center"/>
          </w:tcPr>
          <w:p w14:paraId="262C2B07">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查</w:t>
            </w:r>
            <w:r>
              <w:rPr>
                <w:rFonts w:hint="default" w:ascii="Times New Roman" w:hAnsi="Times New Roman" w:eastAsia="宋体" w:cs="Times New Roman"/>
                <w:color w:val="auto"/>
                <w:kern w:val="2"/>
                <w:sz w:val="21"/>
                <w:szCs w:val="21"/>
                <w:vertAlign w:val="baseline"/>
                <w:lang w:val="en-US" w:eastAsia="zh-CN" w:bidi="ar-SA"/>
              </w:rPr>
              <w:t>看制度和分析报告</w:t>
            </w:r>
          </w:p>
        </w:tc>
        <w:tc>
          <w:tcPr>
            <w:tcW w:w="1017" w:type="dxa"/>
            <w:vAlign w:val="center"/>
          </w:tcPr>
          <w:p w14:paraId="5860670F">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已建立制度，已进行边坡稳定性分析</w:t>
            </w:r>
          </w:p>
        </w:tc>
        <w:tc>
          <w:tcPr>
            <w:tcW w:w="696" w:type="dxa"/>
            <w:vAlign w:val="center"/>
          </w:tcPr>
          <w:p w14:paraId="164FD396">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3</w:t>
            </w:r>
          </w:p>
        </w:tc>
        <w:tc>
          <w:tcPr>
            <w:tcW w:w="933" w:type="dxa"/>
            <w:vAlign w:val="center"/>
          </w:tcPr>
          <w:p w14:paraId="10600E37">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不符合不得分</w:t>
            </w:r>
          </w:p>
        </w:tc>
        <w:tc>
          <w:tcPr>
            <w:tcW w:w="633" w:type="dxa"/>
            <w:vAlign w:val="center"/>
          </w:tcPr>
          <w:p w14:paraId="7DF3ABBA">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3</w:t>
            </w:r>
          </w:p>
        </w:tc>
      </w:tr>
      <w:tr w14:paraId="12F698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591" w:type="dxa"/>
            <w:vAlign w:val="center"/>
          </w:tcPr>
          <w:p w14:paraId="11D474DD">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2. 资料图纸</w:t>
            </w:r>
          </w:p>
        </w:tc>
        <w:tc>
          <w:tcPr>
            <w:tcW w:w="2854" w:type="dxa"/>
            <w:vAlign w:val="center"/>
          </w:tcPr>
          <w:p w14:paraId="4BC5ACBA">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具有符合规范的下列图纸：</w:t>
            </w:r>
          </w:p>
          <w:p w14:paraId="0032E5A1">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2.1 地质地形图；</w:t>
            </w:r>
          </w:p>
          <w:p w14:paraId="2FCC36A7">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2.2 采剥工程年末图；</w:t>
            </w:r>
          </w:p>
          <w:p w14:paraId="6DC46D99">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2.</w:t>
            </w:r>
            <w:r>
              <w:rPr>
                <w:rFonts w:hint="eastAsia"/>
                <w:color w:val="auto"/>
                <w:sz w:val="21"/>
                <w:szCs w:val="21"/>
                <w:vertAlign w:val="baseline"/>
                <w:lang w:val="en-US" w:eastAsia="zh-CN"/>
              </w:rPr>
              <w:t>3</w:t>
            </w:r>
            <w:r>
              <w:rPr>
                <w:rFonts w:hint="default"/>
                <w:color w:val="auto"/>
                <w:sz w:val="21"/>
                <w:szCs w:val="21"/>
                <w:vertAlign w:val="baseline"/>
                <w:lang w:val="en-US" w:eastAsia="zh-CN"/>
              </w:rPr>
              <w:t xml:space="preserve"> 采场边坡工程平面及剖面图；</w:t>
            </w:r>
          </w:p>
          <w:p w14:paraId="1E98D17B">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2.</w:t>
            </w:r>
            <w:r>
              <w:rPr>
                <w:rFonts w:hint="eastAsia"/>
                <w:color w:val="auto"/>
                <w:sz w:val="21"/>
                <w:szCs w:val="21"/>
                <w:vertAlign w:val="baseline"/>
                <w:lang w:val="en-US" w:eastAsia="zh-CN"/>
              </w:rPr>
              <w:t>4</w:t>
            </w:r>
            <w:r>
              <w:rPr>
                <w:rFonts w:hint="default"/>
                <w:color w:val="auto"/>
                <w:sz w:val="21"/>
                <w:szCs w:val="21"/>
                <w:vertAlign w:val="baseline"/>
                <w:lang w:val="en-US" w:eastAsia="zh-CN"/>
              </w:rPr>
              <w:t xml:space="preserve"> 采场最终境界图；</w:t>
            </w:r>
          </w:p>
          <w:p w14:paraId="363075C5">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2.</w:t>
            </w:r>
            <w:r>
              <w:rPr>
                <w:rFonts w:hint="eastAsia"/>
                <w:color w:val="auto"/>
                <w:sz w:val="21"/>
                <w:szCs w:val="21"/>
                <w:vertAlign w:val="baseline"/>
                <w:lang w:val="en-US" w:eastAsia="zh-CN"/>
              </w:rPr>
              <w:t>5</w:t>
            </w:r>
            <w:r>
              <w:rPr>
                <w:rFonts w:hint="default"/>
                <w:color w:val="auto"/>
                <w:sz w:val="21"/>
                <w:szCs w:val="21"/>
                <w:vertAlign w:val="baseline"/>
                <w:lang w:val="en-US" w:eastAsia="zh-CN"/>
              </w:rPr>
              <w:t xml:space="preserve"> 排土场年末图；</w:t>
            </w:r>
          </w:p>
          <w:p w14:paraId="2E7CAAC6">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2.</w:t>
            </w:r>
            <w:r>
              <w:rPr>
                <w:rFonts w:hint="eastAsia"/>
                <w:color w:val="auto"/>
                <w:sz w:val="21"/>
                <w:szCs w:val="21"/>
                <w:vertAlign w:val="baseline"/>
                <w:lang w:val="en-US" w:eastAsia="zh-CN"/>
              </w:rPr>
              <w:t>6</w:t>
            </w:r>
            <w:r>
              <w:rPr>
                <w:rFonts w:hint="default"/>
                <w:color w:val="auto"/>
                <w:sz w:val="21"/>
                <w:szCs w:val="21"/>
                <w:vertAlign w:val="baseline"/>
                <w:lang w:val="en-US" w:eastAsia="zh-CN"/>
              </w:rPr>
              <w:t xml:space="preserve"> 排土场工程平面及剖面图；</w:t>
            </w:r>
          </w:p>
          <w:p w14:paraId="40560C23">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2.</w:t>
            </w:r>
            <w:r>
              <w:rPr>
                <w:rFonts w:hint="eastAsia"/>
                <w:color w:val="auto"/>
                <w:sz w:val="21"/>
                <w:szCs w:val="21"/>
                <w:vertAlign w:val="baseline"/>
                <w:lang w:val="en-US" w:eastAsia="zh-CN"/>
              </w:rPr>
              <w:t>7</w:t>
            </w:r>
            <w:r>
              <w:rPr>
                <w:rFonts w:hint="default"/>
                <w:color w:val="auto"/>
                <w:sz w:val="21"/>
                <w:szCs w:val="21"/>
                <w:vertAlign w:val="baseline"/>
                <w:lang w:val="en-US" w:eastAsia="zh-CN"/>
              </w:rPr>
              <w:t xml:space="preserve"> 供配电系统图；</w:t>
            </w:r>
          </w:p>
          <w:p w14:paraId="353E4D3F">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2.</w:t>
            </w:r>
            <w:r>
              <w:rPr>
                <w:rFonts w:hint="eastAsia"/>
                <w:color w:val="auto"/>
                <w:sz w:val="21"/>
                <w:szCs w:val="21"/>
                <w:vertAlign w:val="baseline"/>
                <w:lang w:val="en-US" w:eastAsia="zh-CN"/>
              </w:rPr>
              <w:t>8</w:t>
            </w:r>
            <w:r>
              <w:rPr>
                <w:rFonts w:hint="default"/>
                <w:color w:val="auto"/>
                <w:sz w:val="21"/>
                <w:szCs w:val="21"/>
                <w:vertAlign w:val="baseline"/>
                <w:lang w:val="en-US" w:eastAsia="zh-CN"/>
              </w:rPr>
              <w:t xml:space="preserve"> 井下采空区与露天矿平面对照图；</w:t>
            </w:r>
          </w:p>
          <w:p w14:paraId="288BAABE">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2.</w:t>
            </w:r>
            <w:r>
              <w:rPr>
                <w:rFonts w:hint="eastAsia"/>
                <w:color w:val="auto"/>
                <w:sz w:val="21"/>
                <w:szCs w:val="21"/>
                <w:vertAlign w:val="baseline"/>
                <w:lang w:val="en-US" w:eastAsia="zh-CN"/>
              </w:rPr>
              <w:t>9</w:t>
            </w:r>
            <w:r>
              <w:rPr>
                <w:rFonts w:hint="default"/>
                <w:color w:val="auto"/>
                <w:sz w:val="21"/>
                <w:szCs w:val="21"/>
                <w:vertAlign w:val="baseline"/>
                <w:lang w:val="en-US" w:eastAsia="zh-CN"/>
              </w:rPr>
              <w:t xml:space="preserve"> 防排水系统图。</w:t>
            </w:r>
          </w:p>
        </w:tc>
        <w:tc>
          <w:tcPr>
            <w:tcW w:w="1548" w:type="dxa"/>
            <w:vAlign w:val="center"/>
          </w:tcPr>
          <w:p w14:paraId="1E5395FE">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GB16423-2020</w:t>
            </w:r>
          </w:p>
          <w:p w14:paraId="5B359509">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val="en-US" w:eastAsia="zh-CN" w:bidi="ar-SA"/>
              </w:rPr>
              <w:t>4.1.9</w:t>
            </w:r>
          </w:p>
        </w:tc>
        <w:tc>
          <w:tcPr>
            <w:tcW w:w="1099" w:type="dxa"/>
            <w:vAlign w:val="center"/>
          </w:tcPr>
          <w:p w14:paraId="31C8E7A4">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查看图纸</w:t>
            </w:r>
          </w:p>
          <w:p w14:paraId="380FB4D1">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现场检查</w:t>
            </w:r>
          </w:p>
        </w:tc>
        <w:tc>
          <w:tcPr>
            <w:tcW w:w="1017" w:type="dxa"/>
            <w:vAlign w:val="center"/>
          </w:tcPr>
          <w:p w14:paraId="3DA40EFB">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无采剥工程年末图和防排水系统图，不涉及排土场和井下采空区</w:t>
            </w:r>
          </w:p>
        </w:tc>
        <w:tc>
          <w:tcPr>
            <w:tcW w:w="696" w:type="dxa"/>
            <w:vAlign w:val="center"/>
          </w:tcPr>
          <w:p w14:paraId="34DC3437">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18</w:t>
            </w:r>
          </w:p>
        </w:tc>
        <w:tc>
          <w:tcPr>
            <w:tcW w:w="933" w:type="dxa"/>
            <w:vAlign w:val="center"/>
          </w:tcPr>
          <w:p w14:paraId="7DEC0B93">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每缺1项扣2分，1项不完善扣1分</w:t>
            </w:r>
          </w:p>
        </w:tc>
        <w:tc>
          <w:tcPr>
            <w:tcW w:w="633" w:type="dxa"/>
            <w:vAlign w:val="center"/>
          </w:tcPr>
          <w:p w14:paraId="75FA166F">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14</w:t>
            </w:r>
          </w:p>
        </w:tc>
      </w:tr>
      <w:tr w14:paraId="556CF4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591" w:type="dxa"/>
            <w:vMerge w:val="restart"/>
            <w:vAlign w:val="center"/>
          </w:tcPr>
          <w:p w14:paraId="4D70615F">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 xml:space="preserve">3. </w:t>
            </w:r>
            <w:r>
              <w:rPr>
                <w:rFonts w:hint="default"/>
                <w:color w:val="auto"/>
                <w:sz w:val="21"/>
                <w:szCs w:val="21"/>
                <w:vertAlign w:val="baseline"/>
                <w:lang w:val="en-US" w:eastAsia="zh-CN"/>
              </w:rPr>
              <w:t>作业</w:t>
            </w:r>
          </w:p>
          <w:p w14:paraId="706D723D">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现场</w:t>
            </w:r>
          </w:p>
          <w:p w14:paraId="727A98D1">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管理</w:t>
            </w:r>
          </w:p>
        </w:tc>
        <w:tc>
          <w:tcPr>
            <w:tcW w:w="2854" w:type="dxa"/>
            <w:vAlign w:val="center"/>
          </w:tcPr>
          <w:p w14:paraId="2C41E180">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3. 1 设立警示标志：</w:t>
            </w:r>
          </w:p>
          <w:p w14:paraId="7F3AFD4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露天坑入口和露天坑周围易发生危险的区域应设置围栏和警示标志，防止无关人员进入。</w:t>
            </w:r>
          </w:p>
        </w:tc>
        <w:tc>
          <w:tcPr>
            <w:tcW w:w="1548" w:type="dxa"/>
            <w:vAlign w:val="center"/>
          </w:tcPr>
          <w:p w14:paraId="1479F6DF">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GB16423-2020</w:t>
            </w:r>
          </w:p>
          <w:p w14:paraId="4C8EFB53">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val="en-US" w:eastAsia="zh-CN" w:bidi="ar-SA"/>
              </w:rPr>
              <w:t>5.1.8</w:t>
            </w:r>
          </w:p>
        </w:tc>
        <w:tc>
          <w:tcPr>
            <w:tcW w:w="1099" w:type="dxa"/>
            <w:vAlign w:val="center"/>
          </w:tcPr>
          <w:p w14:paraId="023A3223">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现场检查</w:t>
            </w:r>
          </w:p>
        </w:tc>
        <w:tc>
          <w:tcPr>
            <w:tcW w:w="1017" w:type="dxa"/>
            <w:vAlign w:val="center"/>
          </w:tcPr>
          <w:p w14:paraId="7EFEE57B">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安全警示标志不足</w:t>
            </w:r>
          </w:p>
        </w:tc>
        <w:tc>
          <w:tcPr>
            <w:tcW w:w="696" w:type="dxa"/>
            <w:vAlign w:val="center"/>
          </w:tcPr>
          <w:p w14:paraId="13CB3838">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2</w:t>
            </w:r>
          </w:p>
        </w:tc>
        <w:tc>
          <w:tcPr>
            <w:tcW w:w="933" w:type="dxa"/>
            <w:vAlign w:val="center"/>
          </w:tcPr>
          <w:p w14:paraId="5801E6DF">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不符合不得分</w:t>
            </w:r>
          </w:p>
        </w:tc>
        <w:tc>
          <w:tcPr>
            <w:tcW w:w="633" w:type="dxa"/>
            <w:vAlign w:val="center"/>
          </w:tcPr>
          <w:p w14:paraId="2BB7800E">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0</w:t>
            </w:r>
          </w:p>
        </w:tc>
      </w:tr>
      <w:tr w14:paraId="09E6B8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591" w:type="dxa"/>
            <w:vMerge w:val="continue"/>
            <w:vAlign w:val="center"/>
          </w:tcPr>
          <w:p w14:paraId="34A3E775">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p>
        </w:tc>
        <w:tc>
          <w:tcPr>
            <w:tcW w:w="2854" w:type="dxa"/>
            <w:vAlign w:val="center"/>
          </w:tcPr>
          <w:p w14:paraId="3AAB92B5">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3.2 夜间工作的采矿场和排废场，在下列地点应设置照明：1、凿岩机、移动式或固定式空气压缩机和水泵的工作地点；2、斜坡卷扬机道、人行梯和人行道；3、汽车运输的装卸车处、人工装卸车 地点的排废场、卸车线；4、调车站、会让站。</w:t>
            </w:r>
          </w:p>
        </w:tc>
        <w:tc>
          <w:tcPr>
            <w:tcW w:w="1548" w:type="dxa"/>
            <w:vAlign w:val="center"/>
          </w:tcPr>
          <w:p w14:paraId="23863853">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GB16423-2020</w:t>
            </w:r>
          </w:p>
          <w:p w14:paraId="2F2D768F">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val="en-US" w:eastAsia="zh-CN" w:bidi="ar-SA"/>
              </w:rPr>
              <w:t>5.6.3.1</w:t>
            </w:r>
          </w:p>
        </w:tc>
        <w:tc>
          <w:tcPr>
            <w:tcW w:w="1099" w:type="dxa"/>
            <w:vAlign w:val="center"/>
          </w:tcPr>
          <w:p w14:paraId="38DC564F">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现场检查</w:t>
            </w:r>
          </w:p>
        </w:tc>
        <w:tc>
          <w:tcPr>
            <w:tcW w:w="1017" w:type="dxa"/>
            <w:vAlign w:val="center"/>
          </w:tcPr>
          <w:p w14:paraId="1A849CCD">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采场不涉及夜间作业</w:t>
            </w:r>
          </w:p>
        </w:tc>
        <w:tc>
          <w:tcPr>
            <w:tcW w:w="696" w:type="dxa"/>
            <w:vAlign w:val="center"/>
          </w:tcPr>
          <w:p w14:paraId="3CA59FFF">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8</w:t>
            </w:r>
          </w:p>
        </w:tc>
        <w:tc>
          <w:tcPr>
            <w:tcW w:w="933" w:type="dxa"/>
            <w:vAlign w:val="center"/>
          </w:tcPr>
          <w:p w14:paraId="63F837FF">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1项不符合扣2分</w:t>
            </w:r>
          </w:p>
        </w:tc>
        <w:tc>
          <w:tcPr>
            <w:tcW w:w="633" w:type="dxa"/>
            <w:vAlign w:val="center"/>
          </w:tcPr>
          <w:p w14:paraId="50BFC01B">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w:t>
            </w:r>
          </w:p>
        </w:tc>
      </w:tr>
      <w:tr w14:paraId="7C93E6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91" w:type="dxa"/>
            <w:vMerge w:val="continue"/>
            <w:vAlign w:val="center"/>
          </w:tcPr>
          <w:p w14:paraId="6B7EC600">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p>
        </w:tc>
        <w:tc>
          <w:tcPr>
            <w:tcW w:w="2854" w:type="dxa"/>
            <w:vAlign w:val="center"/>
          </w:tcPr>
          <w:p w14:paraId="3A1EB67E">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3.3 边坡浮石清除完毕之前不应在边坡底部作业；人员和设备不应在边坡底部停留。</w:t>
            </w:r>
          </w:p>
        </w:tc>
        <w:tc>
          <w:tcPr>
            <w:tcW w:w="1548" w:type="dxa"/>
            <w:vAlign w:val="center"/>
          </w:tcPr>
          <w:p w14:paraId="232F1080">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GB16423-2020</w:t>
            </w:r>
          </w:p>
          <w:p w14:paraId="7E97BC2C">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val="en-US" w:eastAsia="zh-CN" w:bidi="ar-SA"/>
              </w:rPr>
              <w:t>5.2.4.4</w:t>
            </w:r>
          </w:p>
        </w:tc>
        <w:tc>
          <w:tcPr>
            <w:tcW w:w="1099" w:type="dxa"/>
            <w:vAlign w:val="center"/>
          </w:tcPr>
          <w:p w14:paraId="7C5F3440">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现场检查</w:t>
            </w:r>
          </w:p>
        </w:tc>
        <w:tc>
          <w:tcPr>
            <w:tcW w:w="1017" w:type="dxa"/>
            <w:vAlign w:val="center"/>
          </w:tcPr>
          <w:p w14:paraId="3355243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符合</w:t>
            </w:r>
          </w:p>
        </w:tc>
        <w:tc>
          <w:tcPr>
            <w:tcW w:w="696" w:type="dxa"/>
            <w:vAlign w:val="center"/>
          </w:tcPr>
          <w:p w14:paraId="7569395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3</w:t>
            </w:r>
          </w:p>
        </w:tc>
        <w:tc>
          <w:tcPr>
            <w:tcW w:w="933" w:type="dxa"/>
            <w:vAlign w:val="center"/>
          </w:tcPr>
          <w:p w14:paraId="7BBBEAB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不符合不得分</w:t>
            </w:r>
          </w:p>
        </w:tc>
        <w:tc>
          <w:tcPr>
            <w:tcW w:w="633" w:type="dxa"/>
            <w:vAlign w:val="center"/>
          </w:tcPr>
          <w:p w14:paraId="443F0B24">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3</w:t>
            </w:r>
          </w:p>
        </w:tc>
      </w:tr>
      <w:tr w14:paraId="7E4806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591" w:type="dxa"/>
            <w:vMerge w:val="continue"/>
            <w:shd w:val="clear" w:color="auto" w:fill="auto"/>
            <w:vAlign w:val="center"/>
          </w:tcPr>
          <w:p w14:paraId="7C472134">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p>
        </w:tc>
        <w:tc>
          <w:tcPr>
            <w:tcW w:w="2854" w:type="dxa"/>
            <w:shd w:val="clear" w:color="auto" w:fill="auto"/>
            <w:vAlign w:val="center"/>
          </w:tcPr>
          <w:p w14:paraId="4FBA384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3.4 采剥设备</w:t>
            </w:r>
          </w:p>
          <w:p w14:paraId="1B2B87C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3.4.1 机电设备符合国家安全标准或行业安全标准；</w:t>
            </w:r>
          </w:p>
          <w:p w14:paraId="15174F6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3.4.2 露天矿用设备应配备灭火器。</w:t>
            </w:r>
          </w:p>
        </w:tc>
        <w:tc>
          <w:tcPr>
            <w:tcW w:w="1548" w:type="dxa"/>
            <w:shd w:val="clear" w:color="auto" w:fill="auto"/>
            <w:vAlign w:val="center"/>
          </w:tcPr>
          <w:p w14:paraId="70347CE3">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《矿山安全法实施条例》第十四条</w:t>
            </w:r>
          </w:p>
          <w:p w14:paraId="1A0462BD">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GB16423-2020</w:t>
            </w:r>
          </w:p>
          <w:p w14:paraId="269DB3B9">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5.7.2.2</w:t>
            </w:r>
          </w:p>
        </w:tc>
        <w:tc>
          <w:tcPr>
            <w:tcW w:w="1099" w:type="dxa"/>
            <w:shd w:val="clear" w:color="auto" w:fill="auto"/>
            <w:vAlign w:val="center"/>
          </w:tcPr>
          <w:p w14:paraId="27D882F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查看资料、生产现场</w:t>
            </w:r>
          </w:p>
        </w:tc>
        <w:tc>
          <w:tcPr>
            <w:tcW w:w="1017" w:type="dxa"/>
            <w:shd w:val="clear" w:color="auto" w:fill="auto"/>
            <w:vAlign w:val="center"/>
          </w:tcPr>
          <w:p w14:paraId="133E342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符合</w:t>
            </w:r>
          </w:p>
        </w:tc>
        <w:tc>
          <w:tcPr>
            <w:tcW w:w="696" w:type="dxa"/>
            <w:shd w:val="clear" w:color="auto" w:fill="auto"/>
            <w:vAlign w:val="center"/>
          </w:tcPr>
          <w:p w14:paraId="0890FFF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4</w:t>
            </w:r>
          </w:p>
        </w:tc>
        <w:tc>
          <w:tcPr>
            <w:tcW w:w="933" w:type="dxa"/>
            <w:shd w:val="clear" w:color="auto" w:fill="auto"/>
            <w:vAlign w:val="center"/>
          </w:tcPr>
          <w:p w14:paraId="4523304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1项不符合扣2分</w:t>
            </w:r>
          </w:p>
        </w:tc>
        <w:tc>
          <w:tcPr>
            <w:tcW w:w="633" w:type="dxa"/>
            <w:shd w:val="clear" w:color="auto" w:fill="auto"/>
            <w:vAlign w:val="center"/>
          </w:tcPr>
          <w:p w14:paraId="073FB50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4</w:t>
            </w:r>
          </w:p>
        </w:tc>
      </w:tr>
      <w:tr w14:paraId="37C138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591" w:type="dxa"/>
            <w:vMerge w:val="restart"/>
            <w:shd w:val="clear" w:color="auto" w:fill="auto"/>
            <w:vAlign w:val="center"/>
          </w:tcPr>
          <w:p w14:paraId="6A46F8B4">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4. 穿孔作业</w:t>
            </w:r>
          </w:p>
        </w:tc>
        <w:tc>
          <w:tcPr>
            <w:tcW w:w="2854" w:type="dxa"/>
            <w:shd w:val="clear" w:color="auto" w:fill="auto"/>
            <w:vAlign w:val="center"/>
          </w:tcPr>
          <w:p w14:paraId="2FC8B0B2">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4.1 露天开采不应采用没有捕尘装置的干式穿孔设备。</w:t>
            </w:r>
          </w:p>
        </w:tc>
        <w:tc>
          <w:tcPr>
            <w:tcW w:w="1548" w:type="dxa"/>
            <w:shd w:val="clear" w:color="auto" w:fill="auto"/>
            <w:vAlign w:val="center"/>
          </w:tcPr>
          <w:p w14:paraId="57BD25D6">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GB16423-2020</w:t>
            </w:r>
          </w:p>
          <w:p w14:paraId="7A526A01">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5.</w:t>
            </w:r>
            <w:r>
              <w:rPr>
                <w:rFonts w:hint="eastAsia" w:ascii="Times New Roman" w:hAnsi="Times New Roman" w:eastAsia="宋体" w:cs="Times New Roman"/>
                <w:color w:val="auto"/>
                <w:kern w:val="2"/>
                <w:sz w:val="21"/>
                <w:szCs w:val="21"/>
                <w:vertAlign w:val="baseline"/>
                <w:lang w:val="en-US" w:eastAsia="zh-CN" w:bidi="ar-SA"/>
              </w:rPr>
              <w:t>1.11</w:t>
            </w:r>
          </w:p>
        </w:tc>
        <w:tc>
          <w:tcPr>
            <w:tcW w:w="1099" w:type="dxa"/>
            <w:shd w:val="clear" w:color="auto" w:fill="auto"/>
            <w:vAlign w:val="center"/>
          </w:tcPr>
          <w:p w14:paraId="04EC4DA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查看资料、生产现场</w:t>
            </w:r>
          </w:p>
        </w:tc>
        <w:tc>
          <w:tcPr>
            <w:tcW w:w="1017" w:type="dxa"/>
            <w:shd w:val="clear" w:color="auto" w:fill="auto"/>
            <w:vAlign w:val="center"/>
          </w:tcPr>
          <w:p w14:paraId="1FCC23C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符合</w:t>
            </w:r>
          </w:p>
        </w:tc>
        <w:tc>
          <w:tcPr>
            <w:tcW w:w="696" w:type="dxa"/>
            <w:shd w:val="clear" w:color="auto" w:fill="auto"/>
            <w:vAlign w:val="center"/>
          </w:tcPr>
          <w:p w14:paraId="4B56F32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2</w:t>
            </w:r>
          </w:p>
        </w:tc>
        <w:tc>
          <w:tcPr>
            <w:tcW w:w="933" w:type="dxa"/>
            <w:shd w:val="clear" w:color="auto" w:fill="auto"/>
            <w:vAlign w:val="center"/>
          </w:tcPr>
          <w:p w14:paraId="65F787D2">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不符合不得分</w:t>
            </w:r>
          </w:p>
        </w:tc>
        <w:tc>
          <w:tcPr>
            <w:tcW w:w="633" w:type="dxa"/>
            <w:shd w:val="clear" w:color="auto" w:fill="auto"/>
            <w:vAlign w:val="center"/>
          </w:tcPr>
          <w:p w14:paraId="174E66F4">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2</w:t>
            </w:r>
          </w:p>
        </w:tc>
      </w:tr>
      <w:tr w14:paraId="6C43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591" w:type="dxa"/>
            <w:vMerge w:val="continue"/>
            <w:shd w:val="clear" w:color="auto" w:fill="auto"/>
            <w:vAlign w:val="center"/>
          </w:tcPr>
          <w:p w14:paraId="3E229602">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p>
        </w:tc>
        <w:tc>
          <w:tcPr>
            <w:tcW w:w="2854" w:type="dxa"/>
            <w:shd w:val="clear" w:color="auto" w:fill="auto"/>
            <w:vAlign w:val="center"/>
          </w:tcPr>
          <w:p w14:paraId="5C6D2E3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4.2 钻机作业</w:t>
            </w:r>
          </w:p>
          <w:p w14:paraId="0AEEEFE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4.2.1 钻机稳车时，应与台阶坡顶线保持足够的安全距离。</w:t>
            </w:r>
          </w:p>
          <w:p w14:paraId="5289353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4.2.2 穿凿第一排孔时，钻机纵轴线与台阶坡顶线的夹角不小于45°。</w:t>
            </w:r>
          </w:p>
          <w:p w14:paraId="75CAE62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4.2.3 钻机与下部台阶接近坡底线的电铲不应同时作业；</w:t>
            </w:r>
          </w:p>
          <w:p w14:paraId="49C26C7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4.2.4 钻机长时间停机，应切断机上电源。</w:t>
            </w:r>
          </w:p>
        </w:tc>
        <w:tc>
          <w:tcPr>
            <w:tcW w:w="1548" w:type="dxa"/>
            <w:shd w:val="clear" w:color="auto" w:fill="auto"/>
            <w:vAlign w:val="center"/>
          </w:tcPr>
          <w:p w14:paraId="7E764FCE">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GB16423-2020</w:t>
            </w:r>
          </w:p>
          <w:p w14:paraId="5A9D441D">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val="en-US" w:eastAsia="zh-CN" w:bidi="ar-SA"/>
              </w:rPr>
              <w:t>5.2.2.1</w:t>
            </w:r>
          </w:p>
        </w:tc>
        <w:tc>
          <w:tcPr>
            <w:tcW w:w="1099" w:type="dxa"/>
            <w:shd w:val="clear" w:color="auto" w:fill="auto"/>
            <w:vAlign w:val="center"/>
          </w:tcPr>
          <w:p w14:paraId="572C9E3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现场检查</w:t>
            </w:r>
          </w:p>
        </w:tc>
        <w:tc>
          <w:tcPr>
            <w:tcW w:w="1017" w:type="dxa"/>
            <w:shd w:val="clear" w:color="auto" w:fill="auto"/>
            <w:vAlign w:val="center"/>
          </w:tcPr>
          <w:p w14:paraId="2CA2E1A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符合</w:t>
            </w:r>
          </w:p>
        </w:tc>
        <w:tc>
          <w:tcPr>
            <w:tcW w:w="696" w:type="dxa"/>
            <w:shd w:val="clear" w:color="auto" w:fill="auto"/>
            <w:vAlign w:val="center"/>
          </w:tcPr>
          <w:p w14:paraId="0E6DE63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8</w:t>
            </w:r>
          </w:p>
        </w:tc>
        <w:tc>
          <w:tcPr>
            <w:tcW w:w="933" w:type="dxa"/>
            <w:shd w:val="clear" w:color="auto" w:fill="auto"/>
            <w:vAlign w:val="center"/>
          </w:tcPr>
          <w:p w14:paraId="42E9CC5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1项不符合扣2分</w:t>
            </w:r>
          </w:p>
        </w:tc>
        <w:tc>
          <w:tcPr>
            <w:tcW w:w="633" w:type="dxa"/>
            <w:shd w:val="clear" w:color="auto" w:fill="auto"/>
            <w:vAlign w:val="center"/>
          </w:tcPr>
          <w:p w14:paraId="2B4BDD4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8</w:t>
            </w:r>
          </w:p>
        </w:tc>
      </w:tr>
      <w:tr w14:paraId="5B5332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591" w:type="dxa"/>
            <w:vMerge w:val="continue"/>
            <w:shd w:val="clear" w:color="auto" w:fill="auto"/>
            <w:vAlign w:val="center"/>
          </w:tcPr>
          <w:p w14:paraId="2AB6D2A0">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p>
        </w:tc>
        <w:tc>
          <w:tcPr>
            <w:tcW w:w="2854" w:type="dxa"/>
            <w:shd w:val="clear" w:color="auto" w:fill="auto"/>
            <w:vAlign w:val="center"/>
          </w:tcPr>
          <w:p w14:paraId="1492B8D2">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4.3 移动钻机应遵守如下规定：</w:t>
            </w:r>
          </w:p>
          <w:p w14:paraId="4D211F9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4.3.1 行走前司机应先鸣笛，确认履带前后无人；</w:t>
            </w:r>
          </w:p>
          <w:p w14:paraId="7E29541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4.3.2 行进前方应有照明；</w:t>
            </w:r>
          </w:p>
          <w:p w14:paraId="2A4A0E40">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4.3.3 行走时应采取防倾覆措施，前方应有人引导和监护；</w:t>
            </w:r>
          </w:p>
          <w:p w14:paraId="5850E56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4.3.4 不应在松软地面或者倾角超过15°的坡面行走；</w:t>
            </w:r>
          </w:p>
          <w:p w14:paraId="35B48EA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4.3.5 不应90°急转弯；</w:t>
            </w:r>
          </w:p>
          <w:p w14:paraId="55200FF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4.2.6 不应在斜坡上长时间停留。</w:t>
            </w:r>
          </w:p>
        </w:tc>
        <w:tc>
          <w:tcPr>
            <w:tcW w:w="1548" w:type="dxa"/>
            <w:shd w:val="clear" w:color="auto" w:fill="auto"/>
            <w:vAlign w:val="center"/>
          </w:tcPr>
          <w:p w14:paraId="2899BE4B">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GB16423-2020</w:t>
            </w:r>
          </w:p>
          <w:p w14:paraId="644237F7">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val="en-US" w:eastAsia="zh-CN" w:bidi="ar-SA"/>
              </w:rPr>
              <w:t>5.2.2.2</w:t>
            </w:r>
          </w:p>
        </w:tc>
        <w:tc>
          <w:tcPr>
            <w:tcW w:w="1099" w:type="dxa"/>
            <w:shd w:val="clear" w:color="auto" w:fill="auto"/>
            <w:vAlign w:val="center"/>
          </w:tcPr>
          <w:p w14:paraId="7D66D39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现场检查</w:t>
            </w:r>
          </w:p>
        </w:tc>
        <w:tc>
          <w:tcPr>
            <w:tcW w:w="1017" w:type="dxa"/>
            <w:shd w:val="clear" w:color="auto" w:fill="auto"/>
            <w:vAlign w:val="center"/>
          </w:tcPr>
          <w:p w14:paraId="4DCBBD2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符合</w:t>
            </w:r>
          </w:p>
        </w:tc>
        <w:tc>
          <w:tcPr>
            <w:tcW w:w="696" w:type="dxa"/>
            <w:shd w:val="clear" w:color="auto" w:fill="auto"/>
            <w:vAlign w:val="center"/>
          </w:tcPr>
          <w:p w14:paraId="637D6CF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12</w:t>
            </w:r>
          </w:p>
        </w:tc>
        <w:tc>
          <w:tcPr>
            <w:tcW w:w="933" w:type="dxa"/>
            <w:shd w:val="clear" w:color="auto" w:fill="auto"/>
            <w:vAlign w:val="center"/>
          </w:tcPr>
          <w:p w14:paraId="26923E5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1项不符合扣2分</w:t>
            </w:r>
          </w:p>
        </w:tc>
        <w:tc>
          <w:tcPr>
            <w:tcW w:w="633" w:type="dxa"/>
            <w:shd w:val="clear" w:color="auto" w:fill="auto"/>
            <w:vAlign w:val="center"/>
          </w:tcPr>
          <w:p w14:paraId="7FB4DFF4">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12</w:t>
            </w:r>
          </w:p>
        </w:tc>
      </w:tr>
      <w:tr w14:paraId="23EEA2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91" w:type="dxa"/>
            <w:vMerge w:val="continue"/>
            <w:shd w:val="clear" w:color="auto" w:fill="auto"/>
            <w:vAlign w:val="center"/>
          </w:tcPr>
          <w:p w14:paraId="5269EE62">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p>
        </w:tc>
        <w:tc>
          <w:tcPr>
            <w:tcW w:w="2854" w:type="dxa"/>
            <w:shd w:val="clear" w:color="auto" w:fill="auto"/>
            <w:vAlign w:val="center"/>
          </w:tcPr>
          <w:p w14:paraId="5997E78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4.4 遇到影响安全的恶劣天气时不上钻架顶作业。</w:t>
            </w:r>
          </w:p>
        </w:tc>
        <w:tc>
          <w:tcPr>
            <w:tcW w:w="1548" w:type="dxa"/>
            <w:shd w:val="clear" w:color="auto" w:fill="auto"/>
            <w:vAlign w:val="center"/>
          </w:tcPr>
          <w:p w14:paraId="4AC8F326">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GB16423-2020</w:t>
            </w:r>
          </w:p>
          <w:p w14:paraId="0C102A6E">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val="en-US" w:eastAsia="zh-CN" w:bidi="ar-SA"/>
              </w:rPr>
              <w:t>5.2.2.3</w:t>
            </w:r>
          </w:p>
        </w:tc>
        <w:tc>
          <w:tcPr>
            <w:tcW w:w="1099" w:type="dxa"/>
            <w:shd w:val="clear" w:color="auto" w:fill="auto"/>
            <w:vAlign w:val="center"/>
          </w:tcPr>
          <w:p w14:paraId="029F057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现场检查</w:t>
            </w:r>
          </w:p>
        </w:tc>
        <w:tc>
          <w:tcPr>
            <w:tcW w:w="1017" w:type="dxa"/>
            <w:shd w:val="clear" w:color="auto" w:fill="auto"/>
            <w:vAlign w:val="center"/>
          </w:tcPr>
          <w:p w14:paraId="0793D5A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符合</w:t>
            </w:r>
          </w:p>
        </w:tc>
        <w:tc>
          <w:tcPr>
            <w:tcW w:w="696" w:type="dxa"/>
            <w:shd w:val="clear" w:color="auto" w:fill="auto"/>
            <w:vAlign w:val="center"/>
          </w:tcPr>
          <w:p w14:paraId="77C48FB0">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2</w:t>
            </w:r>
          </w:p>
        </w:tc>
        <w:tc>
          <w:tcPr>
            <w:tcW w:w="933" w:type="dxa"/>
            <w:shd w:val="clear" w:color="auto" w:fill="auto"/>
            <w:vAlign w:val="center"/>
          </w:tcPr>
          <w:p w14:paraId="7497732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不符合不得分</w:t>
            </w:r>
          </w:p>
        </w:tc>
        <w:tc>
          <w:tcPr>
            <w:tcW w:w="633" w:type="dxa"/>
            <w:shd w:val="clear" w:color="auto" w:fill="auto"/>
            <w:vAlign w:val="center"/>
          </w:tcPr>
          <w:p w14:paraId="0F36043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2</w:t>
            </w:r>
          </w:p>
        </w:tc>
      </w:tr>
      <w:tr w14:paraId="683C3A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591" w:type="dxa"/>
            <w:vMerge w:val="restart"/>
            <w:shd w:val="clear" w:color="auto" w:fill="auto"/>
            <w:vAlign w:val="center"/>
          </w:tcPr>
          <w:p w14:paraId="564548A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5. 爆破作业</w:t>
            </w:r>
          </w:p>
        </w:tc>
        <w:tc>
          <w:tcPr>
            <w:tcW w:w="2854" w:type="dxa"/>
            <w:shd w:val="clear" w:color="auto" w:fill="auto"/>
            <w:vAlign w:val="center"/>
          </w:tcPr>
          <w:p w14:paraId="19C2008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5. 1爆破工程使用的炸药、雷管、导爆管、导爆索、电线、起爆器、量测仪表均应作现场检测，检测合格后方可使用。</w:t>
            </w:r>
          </w:p>
        </w:tc>
        <w:tc>
          <w:tcPr>
            <w:tcW w:w="1548" w:type="dxa"/>
            <w:shd w:val="clear" w:color="auto" w:fill="auto"/>
            <w:vAlign w:val="center"/>
          </w:tcPr>
          <w:p w14:paraId="3821D18B">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GB6722-2014</w:t>
            </w:r>
          </w:p>
          <w:p w14:paraId="48912335">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6.3.1.1</w:t>
            </w:r>
          </w:p>
        </w:tc>
        <w:tc>
          <w:tcPr>
            <w:tcW w:w="1099" w:type="dxa"/>
            <w:shd w:val="clear" w:color="auto" w:fill="auto"/>
            <w:vAlign w:val="center"/>
          </w:tcPr>
          <w:p w14:paraId="4DC4D08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现场检查</w:t>
            </w:r>
          </w:p>
        </w:tc>
        <w:tc>
          <w:tcPr>
            <w:tcW w:w="1017" w:type="dxa"/>
            <w:shd w:val="clear" w:color="auto" w:fill="auto"/>
            <w:vAlign w:val="center"/>
          </w:tcPr>
          <w:p w14:paraId="062FFCC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符合</w:t>
            </w:r>
          </w:p>
        </w:tc>
        <w:tc>
          <w:tcPr>
            <w:tcW w:w="696" w:type="dxa"/>
            <w:shd w:val="clear" w:color="auto" w:fill="auto"/>
            <w:vAlign w:val="center"/>
          </w:tcPr>
          <w:p w14:paraId="5942083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2</w:t>
            </w:r>
          </w:p>
        </w:tc>
        <w:tc>
          <w:tcPr>
            <w:tcW w:w="933" w:type="dxa"/>
            <w:shd w:val="clear" w:color="auto" w:fill="auto"/>
            <w:vAlign w:val="center"/>
          </w:tcPr>
          <w:p w14:paraId="4528AE9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不符合不得分</w:t>
            </w:r>
          </w:p>
        </w:tc>
        <w:tc>
          <w:tcPr>
            <w:tcW w:w="633" w:type="dxa"/>
            <w:shd w:val="clear" w:color="auto" w:fill="auto"/>
            <w:vAlign w:val="center"/>
          </w:tcPr>
          <w:p w14:paraId="5EC98B9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2</w:t>
            </w:r>
          </w:p>
        </w:tc>
      </w:tr>
      <w:tr w14:paraId="0DEDA1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591" w:type="dxa"/>
            <w:vMerge w:val="continue"/>
            <w:shd w:val="clear" w:color="auto" w:fill="auto"/>
            <w:vAlign w:val="center"/>
          </w:tcPr>
          <w:p w14:paraId="524EB9A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p>
        </w:tc>
        <w:tc>
          <w:tcPr>
            <w:tcW w:w="2854" w:type="dxa"/>
            <w:shd w:val="clear" w:color="auto" w:fill="auto"/>
            <w:vAlign w:val="center"/>
          </w:tcPr>
          <w:p w14:paraId="2D7A96E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5.2 进行爆破器材检测、加工和爆破作业的人员，应穿戴防静电的衣物。</w:t>
            </w:r>
          </w:p>
        </w:tc>
        <w:tc>
          <w:tcPr>
            <w:tcW w:w="1548" w:type="dxa"/>
            <w:shd w:val="clear" w:color="auto" w:fill="auto"/>
            <w:vAlign w:val="center"/>
          </w:tcPr>
          <w:p w14:paraId="38667841">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GB6722-2014</w:t>
            </w:r>
          </w:p>
          <w:p w14:paraId="279374ED">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6.3.1.</w:t>
            </w:r>
            <w:r>
              <w:rPr>
                <w:rFonts w:hint="eastAsia" w:ascii="Times New Roman" w:hAnsi="Times New Roman" w:eastAsia="宋体" w:cs="Times New Roman"/>
                <w:color w:val="auto"/>
                <w:kern w:val="2"/>
                <w:sz w:val="21"/>
                <w:szCs w:val="21"/>
                <w:vertAlign w:val="baseline"/>
                <w:lang w:val="en-US" w:eastAsia="zh-CN" w:bidi="ar-SA"/>
              </w:rPr>
              <w:t>2</w:t>
            </w:r>
          </w:p>
        </w:tc>
        <w:tc>
          <w:tcPr>
            <w:tcW w:w="1099" w:type="dxa"/>
            <w:shd w:val="clear" w:color="auto" w:fill="auto"/>
            <w:vAlign w:val="center"/>
          </w:tcPr>
          <w:p w14:paraId="66326E6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现场检查</w:t>
            </w:r>
          </w:p>
        </w:tc>
        <w:tc>
          <w:tcPr>
            <w:tcW w:w="1017" w:type="dxa"/>
            <w:shd w:val="clear" w:color="auto" w:fill="auto"/>
            <w:vAlign w:val="center"/>
          </w:tcPr>
          <w:p w14:paraId="3AE7E2D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符合</w:t>
            </w:r>
          </w:p>
        </w:tc>
        <w:tc>
          <w:tcPr>
            <w:tcW w:w="696" w:type="dxa"/>
            <w:shd w:val="clear" w:color="auto" w:fill="auto"/>
            <w:vAlign w:val="center"/>
          </w:tcPr>
          <w:p w14:paraId="50988BE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2</w:t>
            </w:r>
          </w:p>
        </w:tc>
        <w:tc>
          <w:tcPr>
            <w:tcW w:w="933" w:type="dxa"/>
            <w:shd w:val="clear" w:color="auto" w:fill="auto"/>
            <w:vAlign w:val="center"/>
          </w:tcPr>
          <w:p w14:paraId="4D88CEE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不符合不得分</w:t>
            </w:r>
          </w:p>
        </w:tc>
        <w:tc>
          <w:tcPr>
            <w:tcW w:w="633" w:type="dxa"/>
            <w:shd w:val="clear" w:color="auto" w:fill="auto"/>
            <w:vAlign w:val="center"/>
          </w:tcPr>
          <w:p w14:paraId="2AA03AA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2</w:t>
            </w:r>
          </w:p>
        </w:tc>
      </w:tr>
      <w:tr w14:paraId="18D99D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 w:hRule="atLeast"/>
          <w:jc w:val="center"/>
        </w:trPr>
        <w:tc>
          <w:tcPr>
            <w:tcW w:w="591" w:type="dxa"/>
            <w:vMerge w:val="continue"/>
            <w:shd w:val="clear" w:color="auto" w:fill="auto"/>
            <w:vAlign w:val="center"/>
          </w:tcPr>
          <w:p w14:paraId="7E25072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p>
        </w:tc>
        <w:tc>
          <w:tcPr>
            <w:tcW w:w="2854" w:type="dxa"/>
            <w:shd w:val="clear" w:color="auto" w:fill="auto"/>
            <w:vAlign w:val="center"/>
          </w:tcPr>
          <w:p w14:paraId="590F28F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5.3 在潮湿或有水环境中应使用抗水爆破器材或对不抗水爆破器材进行防潮、防水处理。</w:t>
            </w:r>
          </w:p>
        </w:tc>
        <w:tc>
          <w:tcPr>
            <w:tcW w:w="1548" w:type="dxa"/>
            <w:shd w:val="clear" w:color="auto" w:fill="auto"/>
            <w:vAlign w:val="center"/>
          </w:tcPr>
          <w:p w14:paraId="454F565A">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GB6722-2014</w:t>
            </w:r>
          </w:p>
          <w:p w14:paraId="135602BE">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6.3.1.</w:t>
            </w:r>
            <w:r>
              <w:rPr>
                <w:rFonts w:hint="eastAsia" w:ascii="Times New Roman" w:hAnsi="Times New Roman" w:eastAsia="宋体" w:cs="Times New Roman"/>
                <w:color w:val="auto"/>
                <w:kern w:val="2"/>
                <w:sz w:val="21"/>
                <w:szCs w:val="21"/>
                <w:vertAlign w:val="baseline"/>
                <w:lang w:val="en-US" w:eastAsia="zh-CN" w:bidi="ar-SA"/>
              </w:rPr>
              <w:t>4</w:t>
            </w:r>
          </w:p>
        </w:tc>
        <w:tc>
          <w:tcPr>
            <w:tcW w:w="1099" w:type="dxa"/>
            <w:shd w:val="clear" w:color="auto" w:fill="auto"/>
            <w:vAlign w:val="center"/>
          </w:tcPr>
          <w:p w14:paraId="51739D62">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现场检查</w:t>
            </w:r>
          </w:p>
        </w:tc>
        <w:tc>
          <w:tcPr>
            <w:tcW w:w="1017" w:type="dxa"/>
            <w:shd w:val="clear" w:color="auto" w:fill="auto"/>
            <w:vAlign w:val="center"/>
          </w:tcPr>
          <w:p w14:paraId="59184D74">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符合</w:t>
            </w:r>
          </w:p>
        </w:tc>
        <w:tc>
          <w:tcPr>
            <w:tcW w:w="696" w:type="dxa"/>
            <w:shd w:val="clear" w:color="auto" w:fill="auto"/>
            <w:vAlign w:val="center"/>
          </w:tcPr>
          <w:p w14:paraId="6445011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2</w:t>
            </w:r>
          </w:p>
        </w:tc>
        <w:tc>
          <w:tcPr>
            <w:tcW w:w="933" w:type="dxa"/>
            <w:shd w:val="clear" w:color="auto" w:fill="auto"/>
            <w:vAlign w:val="center"/>
          </w:tcPr>
          <w:p w14:paraId="1664BDC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不符合不得分</w:t>
            </w:r>
          </w:p>
        </w:tc>
        <w:tc>
          <w:tcPr>
            <w:tcW w:w="633" w:type="dxa"/>
            <w:shd w:val="clear" w:color="auto" w:fill="auto"/>
            <w:vAlign w:val="center"/>
          </w:tcPr>
          <w:p w14:paraId="728B3CF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2</w:t>
            </w:r>
          </w:p>
        </w:tc>
      </w:tr>
      <w:tr w14:paraId="70F528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591" w:type="dxa"/>
            <w:vMerge w:val="continue"/>
            <w:shd w:val="clear" w:color="auto" w:fill="auto"/>
            <w:vAlign w:val="center"/>
          </w:tcPr>
          <w:p w14:paraId="081CEF7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p>
        </w:tc>
        <w:tc>
          <w:tcPr>
            <w:tcW w:w="2854" w:type="dxa"/>
            <w:shd w:val="clear" w:color="auto" w:fill="auto"/>
            <w:vAlign w:val="center"/>
          </w:tcPr>
          <w:p w14:paraId="3CC2B63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5.4 起爆网路连接应严格按设计要求进行。</w:t>
            </w:r>
          </w:p>
        </w:tc>
        <w:tc>
          <w:tcPr>
            <w:tcW w:w="1548" w:type="dxa"/>
            <w:shd w:val="clear" w:color="auto" w:fill="auto"/>
            <w:vAlign w:val="center"/>
          </w:tcPr>
          <w:p w14:paraId="37514CEE">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GB6722-2014</w:t>
            </w:r>
          </w:p>
          <w:p w14:paraId="23EB5293">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6.3.1.</w:t>
            </w:r>
            <w:r>
              <w:rPr>
                <w:rFonts w:hint="eastAsia" w:ascii="Times New Roman" w:hAnsi="Times New Roman" w:eastAsia="宋体" w:cs="Times New Roman"/>
                <w:color w:val="auto"/>
                <w:kern w:val="2"/>
                <w:sz w:val="21"/>
                <w:szCs w:val="21"/>
                <w:vertAlign w:val="baseline"/>
                <w:lang w:val="en-US" w:eastAsia="zh-CN" w:bidi="ar-SA"/>
              </w:rPr>
              <w:t>5</w:t>
            </w:r>
          </w:p>
        </w:tc>
        <w:tc>
          <w:tcPr>
            <w:tcW w:w="1099" w:type="dxa"/>
            <w:shd w:val="clear" w:color="auto" w:fill="auto"/>
            <w:vAlign w:val="center"/>
          </w:tcPr>
          <w:p w14:paraId="192A11C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现场检查</w:t>
            </w:r>
          </w:p>
        </w:tc>
        <w:tc>
          <w:tcPr>
            <w:tcW w:w="1017" w:type="dxa"/>
            <w:shd w:val="clear" w:color="auto" w:fill="auto"/>
            <w:vAlign w:val="center"/>
          </w:tcPr>
          <w:p w14:paraId="3A899E4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符合</w:t>
            </w:r>
          </w:p>
        </w:tc>
        <w:tc>
          <w:tcPr>
            <w:tcW w:w="696" w:type="dxa"/>
            <w:shd w:val="clear" w:color="auto" w:fill="auto"/>
            <w:vAlign w:val="center"/>
          </w:tcPr>
          <w:p w14:paraId="7A41DE3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2</w:t>
            </w:r>
          </w:p>
        </w:tc>
        <w:tc>
          <w:tcPr>
            <w:tcW w:w="933" w:type="dxa"/>
            <w:shd w:val="clear" w:color="auto" w:fill="auto"/>
            <w:vAlign w:val="center"/>
          </w:tcPr>
          <w:p w14:paraId="3579BF0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不符合不得分</w:t>
            </w:r>
          </w:p>
        </w:tc>
        <w:tc>
          <w:tcPr>
            <w:tcW w:w="633" w:type="dxa"/>
            <w:shd w:val="clear" w:color="auto" w:fill="auto"/>
            <w:vAlign w:val="center"/>
          </w:tcPr>
          <w:p w14:paraId="51D5526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2</w:t>
            </w:r>
          </w:p>
        </w:tc>
      </w:tr>
      <w:tr w14:paraId="649216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591" w:type="dxa"/>
            <w:vMerge w:val="continue"/>
            <w:shd w:val="clear" w:color="auto" w:fill="auto"/>
            <w:vAlign w:val="center"/>
          </w:tcPr>
          <w:p w14:paraId="605F5D5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p>
        </w:tc>
        <w:tc>
          <w:tcPr>
            <w:tcW w:w="2854" w:type="dxa"/>
            <w:shd w:val="clear" w:color="auto" w:fill="auto"/>
            <w:vAlign w:val="center"/>
          </w:tcPr>
          <w:p w14:paraId="3B77CD8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5.5 爆破警戒范围由设计确定，在危险区边界，应设有明显标识，并派出岗哨。</w:t>
            </w:r>
          </w:p>
        </w:tc>
        <w:tc>
          <w:tcPr>
            <w:tcW w:w="1548" w:type="dxa"/>
            <w:shd w:val="clear" w:color="auto" w:fill="auto"/>
            <w:vAlign w:val="center"/>
          </w:tcPr>
          <w:p w14:paraId="3A9B8613">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GB6722-2014</w:t>
            </w:r>
          </w:p>
          <w:p w14:paraId="66D89FC4">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6.</w:t>
            </w:r>
            <w:r>
              <w:rPr>
                <w:rFonts w:hint="eastAsia" w:ascii="Times New Roman" w:hAnsi="Times New Roman" w:eastAsia="宋体" w:cs="Times New Roman"/>
                <w:color w:val="auto"/>
                <w:kern w:val="2"/>
                <w:sz w:val="21"/>
                <w:szCs w:val="21"/>
                <w:vertAlign w:val="baseline"/>
                <w:lang w:val="en-US" w:eastAsia="zh-CN" w:bidi="ar-SA"/>
              </w:rPr>
              <w:t>7.1.2</w:t>
            </w:r>
          </w:p>
        </w:tc>
        <w:tc>
          <w:tcPr>
            <w:tcW w:w="1099" w:type="dxa"/>
            <w:shd w:val="clear" w:color="auto" w:fill="auto"/>
            <w:vAlign w:val="center"/>
          </w:tcPr>
          <w:p w14:paraId="5CB827B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查看设计</w:t>
            </w:r>
          </w:p>
          <w:p w14:paraId="71257D4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现场检查</w:t>
            </w:r>
          </w:p>
        </w:tc>
        <w:tc>
          <w:tcPr>
            <w:tcW w:w="1017" w:type="dxa"/>
            <w:shd w:val="clear" w:color="auto" w:fill="auto"/>
            <w:vAlign w:val="center"/>
          </w:tcPr>
          <w:p w14:paraId="2B7AC28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符合</w:t>
            </w:r>
          </w:p>
        </w:tc>
        <w:tc>
          <w:tcPr>
            <w:tcW w:w="696" w:type="dxa"/>
            <w:shd w:val="clear" w:color="auto" w:fill="auto"/>
            <w:vAlign w:val="center"/>
          </w:tcPr>
          <w:p w14:paraId="63CD29D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2</w:t>
            </w:r>
          </w:p>
        </w:tc>
        <w:tc>
          <w:tcPr>
            <w:tcW w:w="933" w:type="dxa"/>
            <w:shd w:val="clear" w:color="auto" w:fill="auto"/>
            <w:vAlign w:val="center"/>
          </w:tcPr>
          <w:p w14:paraId="0E3103C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不符合不得分</w:t>
            </w:r>
          </w:p>
        </w:tc>
        <w:tc>
          <w:tcPr>
            <w:tcW w:w="633" w:type="dxa"/>
            <w:shd w:val="clear" w:color="auto" w:fill="auto"/>
            <w:vAlign w:val="center"/>
          </w:tcPr>
          <w:p w14:paraId="58A03D82">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2</w:t>
            </w:r>
          </w:p>
        </w:tc>
      </w:tr>
      <w:tr w14:paraId="35F1B6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591" w:type="dxa"/>
            <w:vMerge w:val="continue"/>
            <w:shd w:val="clear" w:color="auto" w:fill="auto"/>
            <w:vAlign w:val="center"/>
          </w:tcPr>
          <w:p w14:paraId="3D692FF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p>
        </w:tc>
        <w:tc>
          <w:tcPr>
            <w:tcW w:w="2854" w:type="dxa"/>
            <w:shd w:val="clear" w:color="auto" w:fill="auto"/>
            <w:vAlign w:val="center"/>
          </w:tcPr>
          <w:p w14:paraId="67735752">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5.6 露天爆破作业时，应建立避炮掩体，避炮掩体应设在冲击波危险范围之外；掩体结构应坚固紧密，位置和方向应能防止飞石和有害气体的危害；通达避炮掩体的道路不应有任何障碍。</w:t>
            </w:r>
          </w:p>
        </w:tc>
        <w:tc>
          <w:tcPr>
            <w:tcW w:w="1548" w:type="dxa"/>
            <w:shd w:val="clear" w:color="auto" w:fill="auto"/>
            <w:vAlign w:val="center"/>
          </w:tcPr>
          <w:p w14:paraId="2D72EA4C">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GB6722-2014</w:t>
            </w:r>
          </w:p>
          <w:p w14:paraId="3E833F64">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val="en-US" w:eastAsia="zh-CN" w:bidi="ar-SA"/>
              </w:rPr>
              <w:t>7.1.1</w:t>
            </w:r>
          </w:p>
        </w:tc>
        <w:tc>
          <w:tcPr>
            <w:tcW w:w="1099" w:type="dxa"/>
            <w:shd w:val="clear" w:color="auto" w:fill="auto"/>
            <w:vAlign w:val="center"/>
          </w:tcPr>
          <w:p w14:paraId="2FAE8B5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现场检查</w:t>
            </w:r>
          </w:p>
        </w:tc>
        <w:tc>
          <w:tcPr>
            <w:tcW w:w="1017" w:type="dxa"/>
            <w:shd w:val="clear" w:color="auto" w:fill="auto"/>
            <w:vAlign w:val="center"/>
          </w:tcPr>
          <w:p w14:paraId="00254984">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现场设有避炮棚</w:t>
            </w:r>
          </w:p>
        </w:tc>
        <w:tc>
          <w:tcPr>
            <w:tcW w:w="696" w:type="dxa"/>
            <w:shd w:val="clear" w:color="auto" w:fill="auto"/>
            <w:vAlign w:val="center"/>
          </w:tcPr>
          <w:p w14:paraId="5651502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3</w:t>
            </w:r>
          </w:p>
        </w:tc>
        <w:tc>
          <w:tcPr>
            <w:tcW w:w="933" w:type="dxa"/>
            <w:shd w:val="clear" w:color="auto" w:fill="auto"/>
            <w:vAlign w:val="center"/>
          </w:tcPr>
          <w:p w14:paraId="03D6273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不符合不得分</w:t>
            </w:r>
          </w:p>
        </w:tc>
        <w:tc>
          <w:tcPr>
            <w:tcW w:w="633" w:type="dxa"/>
            <w:shd w:val="clear" w:color="auto" w:fill="auto"/>
            <w:vAlign w:val="center"/>
          </w:tcPr>
          <w:p w14:paraId="6C00854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3</w:t>
            </w:r>
          </w:p>
        </w:tc>
      </w:tr>
      <w:tr w14:paraId="3404EF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 w:hRule="atLeast"/>
          <w:jc w:val="center"/>
        </w:trPr>
        <w:tc>
          <w:tcPr>
            <w:tcW w:w="591" w:type="dxa"/>
            <w:vMerge w:val="continue"/>
            <w:shd w:val="clear" w:color="auto" w:fill="auto"/>
            <w:vAlign w:val="center"/>
          </w:tcPr>
          <w:p w14:paraId="42566F9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p>
        </w:tc>
        <w:tc>
          <w:tcPr>
            <w:tcW w:w="2854" w:type="dxa"/>
            <w:shd w:val="clear" w:color="auto" w:fill="auto"/>
            <w:vAlign w:val="center"/>
          </w:tcPr>
          <w:p w14:paraId="4B8A72D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5.7 松软岩土或砂矿床爆破后，应在爆区设置明显标识，发现空穴、陷坑时应进行安全检查，确认无危险后，方准许恢复作业。</w:t>
            </w:r>
          </w:p>
        </w:tc>
        <w:tc>
          <w:tcPr>
            <w:tcW w:w="1548" w:type="dxa"/>
            <w:shd w:val="clear" w:color="auto" w:fill="auto"/>
            <w:vAlign w:val="center"/>
          </w:tcPr>
          <w:p w14:paraId="0E48C5DA">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GB6722-2014</w:t>
            </w:r>
          </w:p>
          <w:p w14:paraId="443D7FA7">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val="en-US" w:eastAsia="zh-CN" w:bidi="ar-SA"/>
              </w:rPr>
              <w:t>7.1.5</w:t>
            </w:r>
          </w:p>
        </w:tc>
        <w:tc>
          <w:tcPr>
            <w:tcW w:w="1099" w:type="dxa"/>
            <w:shd w:val="clear" w:color="auto" w:fill="auto"/>
            <w:vAlign w:val="center"/>
          </w:tcPr>
          <w:p w14:paraId="1178EA6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现场检查</w:t>
            </w:r>
          </w:p>
        </w:tc>
        <w:tc>
          <w:tcPr>
            <w:tcW w:w="1017" w:type="dxa"/>
            <w:shd w:val="clear" w:color="auto" w:fill="auto"/>
            <w:vAlign w:val="center"/>
          </w:tcPr>
          <w:p w14:paraId="7958DE3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符合</w:t>
            </w:r>
          </w:p>
        </w:tc>
        <w:tc>
          <w:tcPr>
            <w:tcW w:w="696" w:type="dxa"/>
            <w:shd w:val="clear" w:color="auto" w:fill="auto"/>
            <w:vAlign w:val="center"/>
          </w:tcPr>
          <w:p w14:paraId="4A406F62">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2</w:t>
            </w:r>
          </w:p>
        </w:tc>
        <w:tc>
          <w:tcPr>
            <w:tcW w:w="933" w:type="dxa"/>
            <w:shd w:val="clear" w:color="auto" w:fill="auto"/>
            <w:vAlign w:val="center"/>
          </w:tcPr>
          <w:p w14:paraId="44413CF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不符合不得分</w:t>
            </w:r>
          </w:p>
        </w:tc>
        <w:tc>
          <w:tcPr>
            <w:tcW w:w="633" w:type="dxa"/>
            <w:shd w:val="clear" w:color="auto" w:fill="auto"/>
            <w:vAlign w:val="center"/>
          </w:tcPr>
          <w:p w14:paraId="0F0CD340">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2</w:t>
            </w:r>
          </w:p>
        </w:tc>
      </w:tr>
      <w:tr w14:paraId="4EE117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91" w:type="dxa"/>
            <w:vMerge w:val="continue"/>
            <w:shd w:val="clear" w:color="auto" w:fill="auto"/>
            <w:vAlign w:val="center"/>
          </w:tcPr>
          <w:p w14:paraId="2C2A4F7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p>
        </w:tc>
        <w:tc>
          <w:tcPr>
            <w:tcW w:w="2854" w:type="dxa"/>
            <w:shd w:val="clear" w:color="auto" w:fill="auto"/>
            <w:vAlign w:val="center"/>
          </w:tcPr>
          <w:p w14:paraId="4E476B22">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5.8 深孔验收标准：孔深允许误差±0.2m，间排距允许误差±0.2m，偏斜度允许误差2%；发现不合格钻孔应及时处理，未达验收标准不得装药。</w:t>
            </w:r>
          </w:p>
        </w:tc>
        <w:tc>
          <w:tcPr>
            <w:tcW w:w="1548" w:type="dxa"/>
            <w:shd w:val="clear" w:color="auto" w:fill="auto"/>
            <w:vAlign w:val="center"/>
          </w:tcPr>
          <w:p w14:paraId="5F662447">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GB6722-2014</w:t>
            </w:r>
          </w:p>
          <w:p w14:paraId="3A030A53">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val="en-US" w:eastAsia="zh-CN" w:bidi="ar-SA"/>
              </w:rPr>
              <w:t>7.2.2</w:t>
            </w:r>
          </w:p>
        </w:tc>
        <w:tc>
          <w:tcPr>
            <w:tcW w:w="1099" w:type="dxa"/>
            <w:shd w:val="clear" w:color="auto" w:fill="auto"/>
            <w:vAlign w:val="center"/>
          </w:tcPr>
          <w:p w14:paraId="17072CC4">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查看验收记录</w:t>
            </w:r>
          </w:p>
        </w:tc>
        <w:tc>
          <w:tcPr>
            <w:tcW w:w="1017" w:type="dxa"/>
            <w:shd w:val="clear" w:color="auto" w:fill="auto"/>
            <w:vAlign w:val="center"/>
          </w:tcPr>
          <w:p w14:paraId="7723800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符合</w:t>
            </w:r>
          </w:p>
        </w:tc>
        <w:tc>
          <w:tcPr>
            <w:tcW w:w="696" w:type="dxa"/>
            <w:shd w:val="clear" w:color="auto" w:fill="auto"/>
            <w:vAlign w:val="center"/>
          </w:tcPr>
          <w:p w14:paraId="670BBC6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2</w:t>
            </w:r>
          </w:p>
        </w:tc>
        <w:tc>
          <w:tcPr>
            <w:tcW w:w="933" w:type="dxa"/>
            <w:shd w:val="clear" w:color="auto" w:fill="auto"/>
            <w:vAlign w:val="center"/>
          </w:tcPr>
          <w:p w14:paraId="797C675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不符合不得分</w:t>
            </w:r>
          </w:p>
        </w:tc>
        <w:tc>
          <w:tcPr>
            <w:tcW w:w="633" w:type="dxa"/>
            <w:shd w:val="clear" w:color="auto" w:fill="auto"/>
            <w:vAlign w:val="center"/>
          </w:tcPr>
          <w:p w14:paraId="32B532F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2</w:t>
            </w:r>
          </w:p>
        </w:tc>
      </w:tr>
      <w:tr w14:paraId="79FF0E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591" w:type="dxa"/>
            <w:vMerge w:val="continue"/>
            <w:shd w:val="clear" w:color="auto" w:fill="auto"/>
            <w:vAlign w:val="center"/>
          </w:tcPr>
          <w:p w14:paraId="256B4D0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p>
        </w:tc>
        <w:tc>
          <w:tcPr>
            <w:tcW w:w="2854" w:type="dxa"/>
            <w:shd w:val="clear" w:color="auto" w:fill="auto"/>
            <w:vAlign w:val="center"/>
          </w:tcPr>
          <w:p w14:paraId="2EB2461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5.9 爆破作业场所有下列情形之一时，不应进行爆破作业：</w:t>
            </w:r>
          </w:p>
          <w:p w14:paraId="173ACAF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5.9.1 爆破会造成巷道涌水、堤坝漏水、河床严重阻塞、泉水变迁的；</w:t>
            </w:r>
          </w:p>
          <w:p w14:paraId="4954821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5.9.2 岩体有冒顶或边坡滑落危险的；</w:t>
            </w:r>
          </w:p>
          <w:p w14:paraId="10E572A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5.9.3 硐室、炮孔温度异常的；</w:t>
            </w:r>
          </w:p>
          <w:p w14:paraId="0A37B13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5.9.4 作业通道不安全或堵塞的；</w:t>
            </w:r>
          </w:p>
          <w:p w14:paraId="66E0852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5.9.5 危险区边界未设置警戒的。</w:t>
            </w:r>
          </w:p>
        </w:tc>
        <w:tc>
          <w:tcPr>
            <w:tcW w:w="1548" w:type="dxa"/>
            <w:shd w:val="clear" w:color="auto" w:fill="auto"/>
            <w:vAlign w:val="center"/>
          </w:tcPr>
          <w:p w14:paraId="09F63D8B">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GB6722-2014</w:t>
            </w:r>
          </w:p>
          <w:p w14:paraId="7DD9A86A">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val="en-US" w:eastAsia="zh-CN" w:bidi="ar-SA"/>
              </w:rPr>
              <w:t>6.1.2</w:t>
            </w:r>
          </w:p>
        </w:tc>
        <w:tc>
          <w:tcPr>
            <w:tcW w:w="1099" w:type="dxa"/>
            <w:shd w:val="clear" w:color="auto" w:fill="auto"/>
            <w:vAlign w:val="center"/>
          </w:tcPr>
          <w:p w14:paraId="26254DA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现场检查</w:t>
            </w:r>
          </w:p>
        </w:tc>
        <w:tc>
          <w:tcPr>
            <w:tcW w:w="1017" w:type="dxa"/>
            <w:shd w:val="clear" w:color="auto" w:fill="auto"/>
            <w:vAlign w:val="center"/>
          </w:tcPr>
          <w:p w14:paraId="5C000C4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符合</w:t>
            </w:r>
          </w:p>
        </w:tc>
        <w:tc>
          <w:tcPr>
            <w:tcW w:w="696" w:type="dxa"/>
            <w:shd w:val="clear" w:color="auto" w:fill="auto"/>
            <w:vAlign w:val="center"/>
          </w:tcPr>
          <w:p w14:paraId="1C817B6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10</w:t>
            </w:r>
          </w:p>
        </w:tc>
        <w:tc>
          <w:tcPr>
            <w:tcW w:w="933" w:type="dxa"/>
            <w:shd w:val="clear" w:color="auto" w:fill="auto"/>
            <w:vAlign w:val="center"/>
          </w:tcPr>
          <w:p w14:paraId="61DE84A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1项不符合扣2分</w:t>
            </w:r>
          </w:p>
        </w:tc>
        <w:tc>
          <w:tcPr>
            <w:tcW w:w="633" w:type="dxa"/>
            <w:shd w:val="clear" w:color="auto" w:fill="auto"/>
            <w:vAlign w:val="center"/>
          </w:tcPr>
          <w:p w14:paraId="53547BD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10</w:t>
            </w:r>
          </w:p>
        </w:tc>
      </w:tr>
      <w:tr w14:paraId="060FCB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591" w:type="dxa"/>
            <w:vMerge w:val="continue"/>
            <w:shd w:val="clear" w:color="auto" w:fill="auto"/>
            <w:vAlign w:val="center"/>
          </w:tcPr>
          <w:p w14:paraId="7268DD0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p>
        </w:tc>
        <w:tc>
          <w:tcPr>
            <w:tcW w:w="2854" w:type="dxa"/>
            <w:shd w:val="clear" w:color="auto" w:fill="auto"/>
            <w:vAlign w:val="center"/>
          </w:tcPr>
          <w:p w14:paraId="7EC89102">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5.10 露天爆破遇以下恶劣气候时，应停止爆破作业：</w:t>
            </w:r>
          </w:p>
          <w:p w14:paraId="3D1A2C2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5.10.1 热带风暴或台风即将来临时；</w:t>
            </w:r>
          </w:p>
          <w:p w14:paraId="7AD82FF0">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5.10.2 雷电、暴雨来临时；</w:t>
            </w:r>
          </w:p>
          <w:p w14:paraId="2205D3B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5.10.3 大雾天或沙尘暴，能见度不超过100m时；</w:t>
            </w:r>
          </w:p>
          <w:p w14:paraId="3FF03850">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5.10.4 现场风力超过8级、浪高大于1.0m时或水位暴涨暴落时。</w:t>
            </w:r>
          </w:p>
        </w:tc>
        <w:tc>
          <w:tcPr>
            <w:tcW w:w="1548" w:type="dxa"/>
            <w:shd w:val="clear" w:color="auto" w:fill="auto"/>
            <w:vAlign w:val="center"/>
          </w:tcPr>
          <w:p w14:paraId="20CFC6E4">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GB6722-2014</w:t>
            </w:r>
          </w:p>
          <w:p w14:paraId="70F94100">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val="en-US" w:eastAsia="zh-CN" w:bidi="ar-SA"/>
              </w:rPr>
              <w:t>6.1.3</w:t>
            </w:r>
          </w:p>
        </w:tc>
        <w:tc>
          <w:tcPr>
            <w:tcW w:w="1099" w:type="dxa"/>
            <w:shd w:val="clear" w:color="auto" w:fill="auto"/>
            <w:vAlign w:val="center"/>
          </w:tcPr>
          <w:p w14:paraId="014A0E3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现场检查</w:t>
            </w:r>
          </w:p>
        </w:tc>
        <w:tc>
          <w:tcPr>
            <w:tcW w:w="1017" w:type="dxa"/>
            <w:shd w:val="clear" w:color="auto" w:fill="auto"/>
            <w:vAlign w:val="center"/>
          </w:tcPr>
          <w:p w14:paraId="2D058B0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符合</w:t>
            </w:r>
          </w:p>
        </w:tc>
        <w:tc>
          <w:tcPr>
            <w:tcW w:w="696" w:type="dxa"/>
            <w:shd w:val="clear" w:color="auto" w:fill="auto"/>
            <w:vAlign w:val="center"/>
          </w:tcPr>
          <w:p w14:paraId="22A3D99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8</w:t>
            </w:r>
          </w:p>
        </w:tc>
        <w:tc>
          <w:tcPr>
            <w:tcW w:w="933" w:type="dxa"/>
            <w:shd w:val="clear" w:color="auto" w:fill="auto"/>
            <w:vAlign w:val="center"/>
          </w:tcPr>
          <w:p w14:paraId="5861ECD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1项未做到扣2分</w:t>
            </w:r>
          </w:p>
        </w:tc>
        <w:tc>
          <w:tcPr>
            <w:tcW w:w="633" w:type="dxa"/>
            <w:shd w:val="clear" w:color="auto" w:fill="auto"/>
            <w:vAlign w:val="center"/>
          </w:tcPr>
          <w:p w14:paraId="09DCC4F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8</w:t>
            </w:r>
          </w:p>
        </w:tc>
      </w:tr>
      <w:tr w14:paraId="0B530B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jc w:val="center"/>
        </w:trPr>
        <w:tc>
          <w:tcPr>
            <w:tcW w:w="591" w:type="dxa"/>
            <w:vMerge w:val="continue"/>
            <w:shd w:val="clear" w:color="auto" w:fill="auto"/>
            <w:vAlign w:val="center"/>
          </w:tcPr>
          <w:p w14:paraId="15DA926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p>
        </w:tc>
        <w:tc>
          <w:tcPr>
            <w:tcW w:w="2854" w:type="dxa"/>
            <w:shd w:val="clear" w:color="auto" w:fill="auto"/>
            <w:vAlign w:val="center"/>
          </w:tcPr>
          <w:p w14:paraId="7E9B183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5.11 爆后检查等待时间</w:t>
            </w:r>
          </w:p>
          <w:p w14:paraId="3A7556B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5.11.1 露天㳀孔、深孔、特种爆破，爆后应超过5min方准许检查人员进入爆破作业地点；如不能确认有无盲炮，应经15min后才能进入爆区检查。</w:t>
            </w:r>
          </w:p>
          <w:p w14:paraId="314A7CA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5.11.2 露天爆破经检查确认爆破点安全后，经当班爆破班长同意，方准许作业人员进入爆区。</w:t>
            </w:r>
          </w:p>
        </w:tc>
        <w:tc>
          <w:tcPr>
            <w:tcW w:w="1548" w:type="dxa"/>
            <w:shd w:val="clear" w:color="auto" w:fill="auto"/>
            <w:vAlign w:val="center"/>
          </w:tcPr>
          <w:p w14:paraId="446513C6">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GB6722-2014</w:t>
            </w:r>
          </w:p>
          <w:p w14:paraId="70CF6F3A">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val="en-US" w:eastAsia="zh-CN" w:bidi="ar-SA"/>
              </w:rPr>
              <w:t>6.8.1.1</w:t>
            </w:r>
          </w:p>
        </w:tc>
        <w:tc>
          <w:tcPr>
            <w:tcW w:w="1099" w:type="dxa"/>
            <w:shd w:val="clear" w:color="auto" w:fill="auto"/>
            <w:vAlign w:val="center"/>
          </w:tcPr>
          <w:p w14:paraId="675F8F02">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现场检查</w:t>
            </w:r>
          </w:p>
        </w:tc>
        <w:tc>
          <w:tcPr>
            <w:tcW w:w="1017" w:type="dxa"/>
            <w:shd w:val="clear" w:color="auto" w:fill="auto"/>
            <w:vAlign w:val="center"/>
          </w:tcPr>
          <w:p w14:paraId="6C6621D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符合</w:t>
            </w:r>
          </w:p>
        </w:tc>
        <w:tc>
          <w:tcPr>
            <w:tcW w:w="696" w:type="dxa"/>
            <w:shd w:val="clear" w:color="auto" w:fill="auto"/>
            <w:vAlign w:val="center"/>
          </w:tcPr>
          <w:p w14:paraId="5A4E24A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4</w:t>
            </w:r>
          </w:p>
        </w:tc>
        <w:tc>
          <w:tcPr>
            <w:tcW w:w="933" w:type="dxa"/>
            <w:shd w:val="clear" w:color="auto" w:fill="auto"/>
            <w:vAlign w:val="center"/>
          </w:tcPr>
          <w:p w14:paraId="430C7CB0">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1项未做到扣2分</w:t>
            </w:r>
          </w:p>
        </w:tc>
        <w:tc>
          <w:tcPr>
            <w:tcW w:w="633" w:type="dxa"/>
            <w:shd w:val="clear" w:color="auto" w:fill="auto"/>
            <w:vAlign w:val="center"/>
          </w:tcPr>
          <w:p w14:paraId="2E6FABF2">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4</w:t>
            </w:r>
          </w:p>
        </w:tc>
      </w:tr>
      <w:tr w14:paraId="7D9090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591" w:type="dxa"/>
            <w:vMerge w:val="continue"/>
            <w:shd w:val="clear" w:color="auto" w:fill="auto"/>
            <w:vAlign w:val="center"/>
          </w:tcPr>
          <w:p w14:paraId="2F9880D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p>
        </w:tc>
        <w:tc>
          <w:tcPr>
            <w:tcW w:w="2854" w:type="dxa"/>
            <w:shd w:val="clear" w:color="auto" w:fill="auto"/>
            <w:vAlign w:val="center"/>
          </w:tcPr>
          <w:p w14:paraId="71364C0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5.12 爆后检查的内容</w:t>
            </w:r>
          </w:p>
          <w:p w14:paraId="1F34597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5.12.1 确认有无盲炮；</w:t>
            </w:r>
          </w:p>
          <w:p w14:paraId="71940DF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5.12.2 露天爆破爆堆是否稳定，有无危坡、危石、危墙、危房及未炸倒建（构）筑物；</w:t>
            </w:r>
          </w:p>
          <w:p w14:paraId="206D019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5.12.3 在爆破警戒区内公用设施及重点保护建（构）筑物安全情况</w:t>
            </w:r>
            <w:r>
              <w:rPr>
                <w:rFonts w:hint="eastAsia" w:cs="Times New Roman"/>
                <w:color w:val="auto"/>
                <w:kern w:val="2"/>
                <w:sz w:val="21"/>
                <w:szCs w:val="21"/>
                <w:vertAlign w:val="baseline"/>
                <w:lang w:val="en-US" w:eastAsia="zh-CN" w:bidi="ar-SA"/>
              </w:rPr>
              <w:t>。</w:t>
            </w:r>
          </w:p>
        </w:tc>
        <w:tc>
          <w:tcPr>
            <w:tcW w:w="1548" w:type="dxa"/>
            <w:shd w:val="clear" w:color="auto" w:fill="auto"/>
            <w:vAlign w:val="center"/>
          </w:tcPr>
          <w:p w14:paraId="4CB6577B">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GB6722-2014</w:t>
            </w:r>
          </w:p>
          <w:p w14:paraId="7C28C22A">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val="en-US" w:eastAsia="zh-CN" w:bidi="ar-SA"/>
              </w:rPr>
              <w:t>6.8.2.1</w:t>
            </w:r>
          </w:p>
        </w:tc>
        <w:tc>
          <w:tcPr>
            <w:tcW w:w="1099" w:type="dxa"/>
            <w:shd w:val="clear" w:color="auto" w:fill="auto"/>
            <w:vAlign w:val="center"/>
          </w:tcPr>
          <w:p w14:paraId="706ABAA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现场检查</w:t>
            </w:r>
          </w:p>
        </w:tc>
        <w:tc>
          <w:tcPr>
            <w:tcW w:w="1017" w:type="dxa"/>
            <w:shd w:val="clear" w:color="auto" w:fill="auto"/>
            <w:vAlign w:val="center"/>
          </w:tcPr>
          <w:p w14:paraId="76782BC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符合</w:t>
            </w:r>
          </w:p>
        </w:tc>
        <w:tc>
          <w:tcPr>
            <w:tcW w:w="696" w:type="dxa"/>
            <w:shd w:val="clear" w:color="auto" w:fill="auto"/>
            <w:vAlign w:val="center"/>
          </w:tcPr>
          <w:p w14:paraId="6412473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6</w:t>
            </w:r>
          </w:p>
        </w:tc>
        <w:tc>
          <w:tcPr>
            <w:tcW w:w="933" w:type="dxa"/>
            <w:shd w:val="clear" w:color="auto" w:fill="auto"/>
            <w:vAlign w:val="center"/>
          </w:tcPr>
          <w:p w14:paraId="369CCDC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1项未做到扣2分</w:t>
            </w:r>
          </w:p>
        </w:tc>
        <w:tc>
          <w:tcPr>
            <w:tcW w:w="633" w:type="dxa"/>
            <w:shd w:val="clear" w:color="auto" w:fill="auto"/>
            <w:vAlign w:val="center"/>
          </w:tcPr>
          <w:p w14:paraId="19201B7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6</w:t>
            </w:r>
          </w:p>
        </w:tc>
      </w:tr>
      <w:tr w14:paraId="6F0487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 w:hRule="atLeast"/>
          <w:jc w:val="center"/>
        </w:trPr>
        <w:tc>
          <w:tcPr>
            <w:tcW w:w="591" w:type="dxa"/>
            <w:vMerge w:val="restart"/>
            <w:shd w:val="clear" w:color="auto" w:fill="auto"/>
            <w:vAlign w:val="center"/>
          </w:tcPr>
          <w:p w14:paraId="762149F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6. 铲装作业</w:t>
            </w:r>
          </w:p>
        </w:tc>
        <w:tc>
          <w:tcPr>
            <w:tcW w:w="2854" w:type="dxa"/>
            <w:shd w:val="clear" w:color="auto" w:fill="auto"/>
            <w:vAlign w:val="center"/>
          </w:tcPr>
          <w:p w14:paraId="0C57209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6.1 铲装设备工作时，其平衡装置与台阶坡底的水平距离应不小于1m</w:t>
            </w:r>
            <w:r>
              <w:rPr>
                <w:rFonts w:hint="eastAsia" w:cs="Times New Roman"/>
                <w:color w:val="auto"/>
                <w:kern w:val="2"/>
                <w:sz w:val="21"/>
                <w:szCs w:val="21"/>
                <w:vertAlign w:val="baseline"/>
                <w:lang w:val="en-US" w:eastAsia="zh-CN" w:bidi="ar-SA"/>
              </w:rPr>
              <w:t>。</w:t>
            </w:r>
          </w:p>
        </w:tc>
        <w:tc>
          <w:tcPr>
            <w:tcW w:w="1548" w:type="dxa"/>
            <w:shd w:val="clear" w:color="auto" w:fill="auto"/>
            <w:vAlign w:val="center"/>
          </w:tcPr>
          <w:p w14:paraId="37EF8D46">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GB16423-2020</w:t>
            </w:r>
          </w:p>
          <w:p w14:paraId="3E9F95D8">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val="en-US" w:eastAsia="zh-CN" w:bidi="ar-SA"/>
              </w:rPr>
              <w:t>5.2.3.3</w:t>
            </w:r>
          </w:p>
        </w:tc>
        <w:tc>
          <w:tcPr>
            <w:tcW w:w="1099" w:type="dxa"/>
            <w:shd w:val="clear" w:color="auto" w:fill="auto"/>
            <w:vAlign w:val="center"/>
          </w:tcPr>
          <w:p w14:paraId="28F97D5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现场检查</w:t>
            </w:r>
          </w:p>
        </w:tc>
        <w:tc>
          <w:tcPr>
            <w:tcW w:w="1017" w:type="dxa"/>
            <w:shd w:val="clear" w:color="auto" w:fill="auto"/>
            <w:vAlign w:val="center"/>
          </w:tcPr>
          <w:p w14:paraId="5B1EE32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符合</w:t>
            </w:r>
          </w:p>
        </w:tc>
        <w:tc>
          <w:tcPr>
            <w:tcW w:w="696" w:type="dxa"/>
            <w:shd w:val="clear" w:color="auto" w:fill="auto"/>
            <w:vAlign w:val="center"/>
          </w:tcPr>
          <w:p w14:paraId="27EDFE8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3</w:t>
            </w:r>
          </w:p>
        </w:tc>
        <w:tc>
          <w:tcPr>
            <w:tcW w:w="933" w:type="dxa"/>
            <w:shd w:val="clear" w:color="auto" w:fill="auto"/>
            <w:vAlign w:val="center"/>
          </w:tcPr>
          <w:p w14:paraId="4A9099F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不符合不得分</w:t>
            </w:r>
          </w:p>
        </w:tc>
        <w:tc>
          <w:tcPr>
            <w:tcW w:w="633" w:type="dxa"/>
            <w:shd w:val="clear" w:color="auto" w:fill="auto"/>
            <w:vAlign w:val="center"/>
          </w:tcPr>
          <w:p w14:paraId="332E8AE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3</w:t>
            </w:r>
          </w:p>
        </w:tc>
      </w:tr>
      <w:tr w14:paraId="7DE66B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591" w:type="dxa"/>
            <w:vMerge w:val="continue"/>
            <w:shd w:val="clear" w:color="auto" w:fill="auto"/>
            <w:vAlign w:val="center"/>
          </w:tcPr>
          <w:p w14:paraId="385AFB7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p>
        </w:tc>
        <w:tc>
          <w:tcPr>
            <w:tcW w:w="2854" w:type="dxa"/>
            <w:shd w:val="clear" w:color="auto" w:fill="auto"/>
            <w:vAlign w:val="center"/>
          </w:tcPr>
          <w:p w14:paraId="3CF4898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6.2 铲装设备工作应遵守下列规定：</w:t>
            </w:r>
          </w:p>
          <w:p w14:paraId="6F70736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1、悬臂和铲斗及工作面附近不应有人员停留；</w:t>
            </w:r>
          </w:p>
          <w:p w14:paraId="774426E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2、铲斗不应从车辆驾驶室上言通过；</w:t>
            </w:r>
          </w:p>
          <w:p w14:paraId="5B6CE7B0">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3、人员不应在司机室踏板上或有落石危险的地方停留；</w:t>
            </w:r>
          </w:p>
          <w:p w14:paraId="4C273CA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4、不应调整电铲起生臂。</w:t>
            </w:r>
          </w:p>
        </w:tc>
        <w:tc>
          <w:tcPr>
            <w:tcW w:w="1548" w:type="dxa"/>
            <w:shd w:val="clear" w:color="auto" w:fill="auto"/>
            <w:vAlign w:val="center"/>
          </w:tcPr>
          <w:p w14:paraId="48485C57">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GB16423-2020</w:t>
            </w:r>
          </w:p>
          <w:p w14:paraId="605534B2">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val="en-US" w:eastAsia="zh-CN" w:bidi="ar-SA"/>
              </w:rPr>
              <w:t>5.2.3.4</w:t>
            </w:r>
          </w:p>
        </w:tc>
        <w:tc>
          <w:tcPr>
            <w:tcW w:w="1099" w:type="dxa"/>
            <w:shd w:val="clear" w:color="auto" w:fill="auto"/>
            <w:vAlign w:val="center"/>
          </w:tcPr>
          <w:p w14:paraId="42BF864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现场检查</w:t>
            </w:r>
          </w:p>
        </w:tc>
        <w:tc>
          <w:tcPr>
            <w:tcW w:w="1017" w:type="dxa"/>
            <w:shd w:val="clear" w:color="auto" w:fill="auto"/>
            <w:vAlign w:val="center"/>
          </w:tcPr>
          <w:p w14:paraId="03F3586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符合</w:t>
            </w:r>
          </w:p>
        </w:tc>
        <w:tc>
          <w:tcPr>
            <w:tcW w:w="696" w:type="dxa"/>
            <w:shd w:val="clear" w:color="auto" w:fill="auto"/>
            <w:vAlign w:val="center"/>
          </w:tcPr>
          <w:p w14:paraId="0B1388C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8</w:t>
            </w:r>
          </w:p>
        </w:tc>
        <w:tc>
          <w:tcPr>
            <w:tcW w:w="933" w:type="dxa"/>
            <w:shd w:val="clear" w:color="auto" w:fill="auto"/>
            <w:vAlign w:val="center"/>
          </w:tcPr>
          <w:p w14:paraId="3EEA05E2">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1项未做到扣2分</w:t>
            </w:r>
          </w:p>
        </w:tc>
        <w:tc>
          <w:tcPr>
            <w:tcW w:w="633" w:type="dxa"/>
            <w:shd w:val="clear" w:color="auto" w:fill="auto"/>
            <w:vAlign w:val="center"/>
          </w:tcPr>
          <w:p w14:paraId="4A2C6B82">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8</w:t>
            </w:r>
          </w:p>
        </w:tc>
      </w:tr>
      <w:tr w14:paraId="15875E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591" w:type="dxa"/>
            <w:vMerge w:val="continue"/>
            <w:shd w:val="clear" w:color="auto" w:fill="auto"/>
            <w:vAlign w:val="center"/>
          </w:tcPr>
          <w:p w14:paraId="32601C42">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p>
        </w:tc>
        <w:tc>
          <w:tcPr>
            <w:tcW w:w="2854" w:type="dxa"/>
            <w:shd w:val="clear" w:color="auto" w:fill="auto"/>
            <w:vAlign w:val="center"/>
          </w:tcPr>
          <w:p w14:paraId="1B08FF7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6.3 多台铲装设备在同一平台上作业时，铲装设备间距不小于设备最大工作半径的3倍，且不小于50m。</w:t>
            </w:r>
          </w:p>
        </w:tc>
        <w:tc>
          <w:tcPr>
            <w:tcW w:w="1548" w:type="dxa"/>
            <w:shd w:val="clear" w:color="auto" w:fill="auto"/>
            <w:vAlign w:val="center"/>
          </w:tcPr>
          <w:p w14:paraId="5A6DED78">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GB16423-2020</w:t>
            </w:r>
          </w:p>
          <w:p w14:paraId="280C5D64">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val="en-US" w:eastAsia="zh-CN" w:bidi="ar-SA"/>
              </w:rPr>
              <w:t>5.2.3.5</w:t>
            </w:r>
          </w:p>
        </w:tc>
        <w:tc>
          <w:tcPr>
            <w:tcW w:w="1099" w:type="dxa"/>
            <w:shd w:val="clear" w:color="auto" w:fill="auto"/>
            <w:vAlign w:val="center"/>
          </w:tcPr>
          <w:p w14:paraId="0E2A06C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现场检查</w:t>
            </w:r>
          </w:p>
        </w:tc>
        <w:tc>
          <w:tcPr>
            <w:tcW w:w="1017" w:type="dxa"/>
            <w:shd w:val="clear" w:color="auto" w:fill="auto"/>
            <w:vAlign w:val="center"/>
          </w:tcPr>
          <w:p w14:paraId="1571572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符合</w:t>
            </w:r>
          </w:p>
        </w:tc>
        <w:tc>
          <w:tcPr>
            <w:tcW w:w="696" w:type="dxa"/>
            <w:shd w:val="clear" w:color="auto" w:fill="auto"/>
            <w:vAlign w:val="center"/>
          </w:tcPr>
          <w:p w14:paraId="5B4D9A9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3</w:t>
            </w:r>
          </w:p>
        </w:tc>
        <w:tc>
          <w:tcPr>
            <w:tcW w:w="933" w:type="dxa"/>
            <w:shd w:val="clear" w:color="auto" w:fill="auto"/>
            <w:vAlign w:val="center"/>
          </w:tcPr>
          <w:p w14:paraId="39B54650">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不符合不得分</w:t>
            </w:r>
          </w:p>
        </w:tc>
        <w:tc>
          <w:tcPr>
            <w:tcW w:w="633" w:type="dxa"/>
            <w:shd w:val="clear" w:color="auto" w:fill="auto"/>
            <w:vAlign w:val="center"/>
          </w:tcPr>
          <w:p w14:paraId="2A49406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3</w:t>
            </w:r>
          </w:p>
        </w:tc>
      </w:tr>
      <w:tr w14:paraId="431751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2" w:hRule="atLeast"/>
          <w:jc w:val="center"/>
        </w:trPr>
        <w:tc>
          <w:tcPr>
            <w:tcW w:w="591" w:type="dxa"/>
            <w:vMerge w:val="continue"/>
            <w:shd w:val="clear" w:color="auto" w:fill="auto"/>
            <w:vAlign w:val="center"/>
          </w:tcPr>
          <w:p w14:paraId="08B74E9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p>
        </w:tc>
        <w:tc>
          <w:tcPr>
            <w:tcW w:w="2854" w:type="dxa"/>
            <w:shd w:val="clear" w:color="auto" w:fill="auto"/>
            <w:vAlign w:val="center"/>
          </w:tcPr>
          <w:p w14:paraId="571C4792">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6.4 上、下台阶同时作业时，上部台阶的铲装设备应超前下部台阶铲装设备；超前距离不小于铲装设备最大工作半径的3倍，且不小于50m。</w:t>
            </w:r>
          </w:p>
        </w:tc>
        <w:tc>
          <w:tcPr>
            <w:tcW w:w="1548" w:type="dxa"/>
            <w:shd w:val="clear" w:color="auto" w:fill="auto"/>
            <w:vAlign w:val="center"/>
          </w:tcPr>
          <w:p w14:paraId="1E5A5CCA">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GB16423-2020</w:t>
            </w:r>
          </w:p>
          <w:p w14:paraId="736D2C1C">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val="en-US" w:eastAsia="zh-CN" w:bidi="ar-SA"/>
              </w:rPr>
              <w:t>5.2.3.6</w:t>
            </w:r>
          </w:p>
        </w:tc>
        <w:tc>
          <w:tcPr>
            <w:tcW w:w="1099" w:type="dxa"/>
            <w:shd w:val="clear" w:color="auto" w:fill="auto"/>
            <w:vAlign w:val="center"/>
          </w:tcPr>
          <w:p w14:paraId="24AC3B1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现场检查</w:t>
            </w:r>
          </w:p>
        </w:tc>
        <w:tc>
          <w:tcPr>
            <w:tcW w:w="1017" w:type="dxa"/>
            <w:shd w:val="clear" w:color="auto" w:fill="auto"/>
            <w:vAlign w:val="center"/>
          </w:tcPr>
          <w:p w14:paraId="73DEB02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符合</w:t>
            </w:r>
          </w:p>
        </w:tc>
        <w:tc>
          <w:tcPr>
            <w:tcW w:w="696" w:type="dxa"/>
            <w:shd w:val="clear" w:color="auto" w:fill="auto"/>
            <w:vAlign w:val="center"/>
          </w:tcPr>
          <w:p w14:paraId="25C84C9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3</w:t>
            </w:r>
          </w:p>
        </w:tc>
        <w:tc>
          <w:tcPr>
            <w:tcW w:w="933" w:type="dxa"/>
            <w:shd w:val="clear" w:color="auto" w:fill="auto"/>
            <w:vAlign w:val="center"/>
          </w:tcPr>
          <w:p w14:paraId="29D9BE0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不符合不得分</w:t>
            </w:r>
          </w:p>
        </w:tc>
        <w:tc>
          <w:tcPr>
            <w:tcW w:w="633" w:type="dxa"/>
            <w:shd w:val="clear" w:color="auto" w:fill="auto"/>
            <w:vAlign w:val="center"/>
          </w:tcPr>
          <w:p w14:paraId="31E903D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3</w:t>
            </w:r>
          </w:p>
        </w:tc>
      </w:tr>
      <w:tr w14:paraId="17804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591" w:type="dxa"/>
            <w:vMerge w:val="continue"/>
            <w:shd w:val="clear" w:color="auto" w:fill="auto"/>
            <w:vAlign w:val="center"/>
          </w:tcPr>
          <w:p w14:paraId="0A12C4C4">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p>
        </w:tc>
        <w:tc>
          <w:tcPr>
            <w:tcW w:w="2854" w:type="dxa"/>
            <w:shd w:val="clear" w:color="auto" w:fill="auto"/>
            <w:vAlign w:val="center"/>
          </w:tcPr>
          <w:p w14:paraId="0C5B7AA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6.5 铲装时铲斗不应压、碰运输设备；铲斗卸载时，铲斗下沿与运输设备上沿高差不大于0.5m；不应用铲斗处理车箱粘结物。</w:t>
            </w:r>
          </w:p>
        </w:tc>
        <w:tc>
          <w:tcPr>
            <w:tcW w:w="1548" w:type="dxa"/>
            <w:shd w:val="clear" w:color="auto" w:fill="auto"/>
            <w:vAlign w:val="center"/>
          </w:tcPr>
          <w:p w14:paraId="1E3BB56A">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GB16423-2020</w:t>
            </w:r>
          </w:p>
          <w:p w14:paraId="5FAB0BB3">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val="en-US" w:eastAsia="zh-CN" w:bidi="ar-SA"/>
              </w:rPr>
              <w:t>5.2.3.7</w:t>
            </w:r>
          </w:p>
        </w:tc>
        <w:tc>
          <w:tcPr>
            <w:tcW w:w="1099" w:type="dxa"/>
            <w:shd w:val="clear" w:color="auto" w:fill="auto"/>
            <w:vAlign w:val="center"/>
          </w:tcPr>
          <w:p w14:paraId="4A901AF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现场检查</w:t>
            </w:r>
          </w:p>
        </w:tc>
        <w:tc>
          <w:tcPr>
            <w:tcW w:w="1017" w:type="dxa"/>
            <w:shd w:val="clear" w:color="auto" w:fill="auto"/>
            <w:vAlign w:val="center"/>
          </w:tcPr>
          <w:p w14:paraId="5FFB7270">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符合</w:t>
            </w:r>
          </w:p>
        </w:tc>
        <w:tc>
          <w:tcPr>
            <w:tcW w:w="696" w:type="dxa"/>
            <w:shd w:val="clear" w:color="auto" w:fill="auto"/>
            <w:vAlign w:val="center"/>
          </w:tcPr>
          <w:p w14:paraId="0560045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2</w:t>
            </w:r>
          </w:p>
        </w:tc>
        <w:tc>
          <w:tcPr>
            <w:tcW w:w="933" w:type="dxa"/>
            <w:shd w:val="clear" w:color="auto" w:fill="auto"/>
            <w:vAlign w:val="center"/>
          </w:tcPr>
          <w:p w14:paraId="47D3331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不符合不得分</w:t>
            </w:r>
          </w:p>
        </w:tc>
        <w:tc>
          <w:tcPr>
            <w:tcW w:w="633" w:type="dxa"/>
            <w:shd w:val="clear" w:color="auto" w:fill="auto"/>
            <w:vAlign w:val="center"/>
          </w:tcPr>
          <w:p w14:paraId="5F24ACF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2</w:t>
            </w:r>
          </w:p>
        </w:tc>
      </w:tr>
      <w:tr w14:paraId="01CC4C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591" w:type="dxa"/>
            <w:vMerge w:val="continue"/>
            <w:shd w:val="clear" w:color="auto" w:fill="auto"/>
            <w:vAlign w:val="center"/>
          </w:tcPr>
          <w:p w14:paraId="5C0800F2">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p>
        </w:tc>
        <w:tc>
          <w:tcPr>
            <w:tcW w:w="2854" w:type="dxa"/>
            <w:shd w:val="clear" w:color="auto" w:fill="auto"/>
            <w:vAlign w:val="center"/>
          </w:tcPr>
          <w:p w14:paraId="556F837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6.6 发现悬浮岩块或崩塌征兆时，应立即停止铲装作业，并将设备转移至安全地带。</w:t>
            </w:r>
          </w:p>
        </w:tc>
        <w:tc>
          <w:tcPr>
            <w:tcW w:w="1548" w:type="dxa"/>
            <w:shd w:val="clear" w:color="auto" w:fill="auto"/>
            <w:vAlign w:val="center"/>
          </w:tcPr>
          <w:p w14:paraId="71A29D03">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GB16423-2020</w:t>
            </w:r>
          </w:p>
          <w:p w14:paraId="7EA0F60D">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val="en-US" w:eastAsia="zh-CN" w:bidi="ar-SA"/>
              </w:rPr>
              <w:t>5.2.3.8</w:t>
            </w:r>
          </w:p>
        </w:tc>
        <w:tc>
          <w:tcPr>
            <w:tcW w:w="1099" w:type="dxa"/>
            <w:shd w:val="clear" w:color="auto" w:fill="auto"/>
            <w:vAlign w:val="center"/>
          </w:tcPr>
          <w:p w14:paraId="38FA7AB4">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现场检查</w:t>
            </w:r>
          </w:p>
        </w:tc>
        <w:tc>
          <w:tcPr>
            <w:tcW w:w="1017" w:type="dxa"/>
            <w:shd w:val="clear" w:color="auto" w:fill="auto"/>
            <w:vAlign w:val="center"/>
          </w:tcPr>
          <w:p w14:paraId="2E494DC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符合</w:t>
            </w:r>
          </w:p>
        </w:tc>
        <w:tc>
          <w:tcPr>
            <w:tcW w:w="696" w:type="dxa"/>
            <w:shd w:val="clear" w:color="auto" w:fill="auto"/>
            <w:vAlign w:val="center"/>
          </w:tcPr>
          <w:p w14:paraId="3EE6D71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2</w:t>
            </w:r>
          </w:p>
        </w:tc>
        <w:tc>
          <w:tcPr>
            <w:tcW w:w="933" w:type="dxa"/>
            <w:shd w:val="clear" w:color="auto" w:fill="auto"/>
            <w:vAlign w:val="center"/>
          </w:tcPr>
          <w:p w14:paraId="679A750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不符合不得分</w:t>
            </w:r>
          </w:p>
        </w:tc>
        <w:tc>
          <w:tcPr>
            <w:tcW w:w="633" w:type="dxa"/>
            <w:shd w:val="clear" w:color="auto" w:fill="auto"/>
            <w:vAlign w:val="center"/>
          </w:tcPr>
          <w:p w14:paraId="45E038F0">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3</w:t>
            </w:r>
          </w:p>
        </w:tc>
      </w:tr>
      <w:tr w14:paraId="0F4754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591" w:type="dxa"/>
            <w:vMerge w:val="continue"/>
            <w:shd w:val="clear" w:color="auto" w:fill="auto"/>
            <w:vAlign w:val="center"/>
          </w:tcPr>
          <w:p w14:paraId="2F91D98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p>
        </w:tc>
        <w:tc>
          <w:tcPr>
            <w:tcW w:w="2854" w:type="dxa"/>
            <w:shd w:val="clear" w:color="auto" w:fill="auto"/>
            <w:vAlign w:val="center"/>
          </w:tcPr>
          <w:p w14:paraId="5F550B4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6.7 铲装设备穿过铁路、电缆线路或者风水管路时，应采取安全防护措施保护电缆、风水管和铁路设施。</w:t>
            </w:r>
          </w:p>
        </w:tc>
        <w:tc>
          <w:tcPr>
            <w:tcW w:w="1548" w:type="dxa"/>
            <w:shd w:val="clear" w:color="auto" w:fill="auto"/>
            <w:vAlign w:val="center"/>
          </w:tcPr>
          <w:p w14:paraId="2E4FBCBF">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GB16423-2020</w:t>
            </w:r>
          </w:p>
          <w:p w14:paraId="3EDA0AF2">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val="en-US" w:eastAsia="zh-CN" w:bidi="ar-SA"/>
              </w:rPr>
              <w:t>5.2.3.9</w:t>
            </w:r>
          </w:p>
        </w:tc>
        <w:tc>
          <w:tcPr>
            <w:tcW w:w="1099" w:type="dxa"/>
            <w:shd w:val="clear" w:color="auto" w:fill="auto"/>
            <w:vAlign w:val="center"/>
          </w:tcPr>
          <w:p w14:paraId="01C9ABB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现场检查</w:t>
            </w:r>
          </w:p>
        </w:tc>
        <w:tc>
          <w:tcPr>
            <w:tcW w:w="1017" w:type="dxa"/>
            <w:shd w:val="clear" w:color="auto" w:fill="auto"/>
            <w:vAlign w:val="center"/>
          </w:tcPr>
          <w:p w14:paraId="4663956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符合</w:t>
            </w:r>
          </w:p>
        </w:tc>
        <w:tc>
          <w:tcPr>
            <w:tcW w:w="696" w:type="dxa"/>
            <w:shd w:val="clear" w:color="auto" w:fill="auto"/>
            <w:vAlign w:val="center"/>
          </w:tcPr>
          <w:p w14:paraId="24CD9A1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2</w:t>
            </w:r>
          </w:p>
        </w:tc>
        <w:tc>
          <w:tcPr>
            <w:tcW w:w="933" w:type="dxa"/>
            <w:shd w:val="clear" w:color="auto" w:fill="auto"/>
            <w:vAlign w:val="center"/>
          </w:tcPr>
          <w:p w14:paraId="5E99DE94">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不符合不得分</w:t>
            </w:r>
          </w:p>
        </w:tc>
        <w:tc>
          <w:tcPr>
            <w:tcW w:w="633" w:type="dxa"/>
            <w:shd w:val="clear" w:color="auto" w:fill="auto"/>
            <w:vAlign w:val="center"/>
          </w:tcPr>
          <w:p w14:paraId="4436F4F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2</w:t>
            </w:r>
          </w:p>
        </w:tc>
      </w:tr>
      <w:tr w14:paraId="2E2C8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jc w:val="center"/>
        </w:trPr>
        <w:tc>
          <w:tcPr>
            <w:tcW w:w="591" w:type="dxa"/>
            <w:vMerge w:val="continue"/>
            <w:shd w:val="clear" w:color="auto" w:fill="auto"/>
            <w:vAlign w:val="center"/>
          </w:tcPr>
          <w:p w14:paraId="01E9F1A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p>
        </w:tc>
        <w:tc>
          <w:tcPr>
            <w:tcW w:w="2854" w:type="dxa"/>
            <w:shd w:val="clear" w:color="auto" w:fill="auto"/>
            <w:vAlign w:val="center"/>
          </w:tcPr>
          <w:p w14:paraId="4B33B33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6.8 铲装设备行走应遵守下列规定：</w:t>
            </w:r>
          </w:p>
          <w:p w14:paraId="5930BD00">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1、应在作业平台的稳定范围内行走；</w:t>
            </w:r>
          </w:p>
          <w:p w14:paraId="4026812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2、上、下坡时铲斗应下放并与地面保持适当距离。</w:t>
            </w:r>
          </w:p>
        </w:tc>
        <w:tc>
          <w:tcPr>
            <w:tcW w:w="1548" w:type="dxa"/>
            <w:shd w:val="clear" w:color="auto" w:fill="auto"/>
            <w:vAlign w:val="center"/>
          </w:tcPr>
          <w:p w14:paraId="60988BE9">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GB16423-2020</w:t>
            </w:r>
          </w:p>
          <w:p w14:paraId="774937B9">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val="en-US" w:eastAsia="zh-CN" w:bidi="ar-SA"/>
              </w:rPr>
              <w:t>5.2.3.10</w:t>
            </w:r>
          </w:p>
        </w:tc>
        <w:tc>
          <w:tcPr>
            <w:tcW w:w="1099" w:type="dxa"/>
            <w:shd w:val="clear" w:color="auto" w:fill="auto"/>
            <w:vAlign w:val="center"/>
          </w:tcPr>
          <w:p w14:paraId="53DFA4D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现场检查</w:t>
            </w:r>
          </w:p>
        </w:tc>
        <w:tc>
          <w:tcPr>
            <w:tcW w:w="1017" w:type="dxa"/>
            <w:shd w:val="clear" w:color="auto" w:fill="auto"/>
            <w:vAlign w:val="center"/>
          </w:tcPr>
          <w:p w14:paraId="15496184">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符合</w:t>
            </w:r>
          </w:p>
        </w:tc>
        <w:tc>
          <w:tcPr>
            <w:tcW w:w="696" w:type="dxa"/>
            <w:shd w:val="clear" w:color="auto" w:fill="auto"/>
            <w:vAlign w:val="center"/>
          </w:tcPr>
          <w:p w14:paraId="50A6B6C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4</w:t>
            </w:r>
          </w:p>
        </w:tc>
        <w:tc>
          <w:tcPr>
            <w:tcW w:w="933" w:type="dxa"/>
            <w:shd w:val="clear" w:color="auto" w:fill="auto"/>
            <w:vAlign w:val="center"/>
          </w:tcPr>
          <w:p w14:paraId="4A1958A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1项未做到扣2分</w:t>
            </w:r>
          </w:p>
        </w:tc>
        <w:tc>
          <w:tcPr>
            <w:tcW w:w="633" w:type="dxa"/>
            <w:shd w:val="clear" w:color="auto" w:fill="auto"/>
            <w:vAlign w:val="center"/>
          </w:tcPr>
          <w:p w14:paraId="548C4D9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4</w:t>
            </w:r>
          </w:p>
        </w:tc>
      </w:tr>
      <w:tr w14:paraId="64FEF3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591" w:type="dxa"/>
            <w:vMerge w:val="restart"/>
            <w:shd w:val="clear" w:color="auto" w:fill="auto"/>
            <w:vAlign w:val="center"/>
          </w:tcPr>
          <w:p w14:paraId="5FEE197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7. 道路运输</w:t>
            </w:r>
          </w:p>
        </w:tc>
        <w:tc>
          <w:tcPr>
            <w:tcW w:w="2854" w:type="dxa"/>
            <w:shd w:val="clear" w:color="auto" w:fill="auto"/>
            <w:vAlign w:val="center"/>
          </w:tcPr>
          <w:p w14:paraId="429BE61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7.1 不应用自卸汽车运载易燃、易爆物品；</w:t>
            </w:r>
          </w:p>
        </w:tc>
        <w:tc>
          <w:tcPr>
            <w:tcW w:w="1548" w:type="dxa"/>
            <w:shd w:val="clear" w:color="auto" w:fill="auto"/>
            <w:vAlign w:val="center"/>
          </w:tcPr>
          <w:p w14:paraId="27FADD5A">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GB16423-2020</w:t>
            </w:r>
          </w:p>
          <w:p w14:paraId="633D8533">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val="en-US" w:eastAsia="zh-CN" w:bidi="ar-SA"/>
              </w:rPr>
              <w:t>5.4.2.1</w:t>
            </w:r>
          </w:p>
        </w:tc>
        <w:tc>
          <w:tcPr>
            <w:tcW w:w="1099" w:type="dxa"/>
            <w:shd w:val="clear" w:color="auto" w:fill="auto"/>
            <w:vAlign w:val="center"/>
          </w:tcPr>
          <w:p w14:paraId="486BC80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现场检查</w:t>
            </w:r>
          </w:p>
        </w:tc>
        <w:tc>
          <w:tcPr>
            <w:tcW w:w="1017" w:type="dxa"/>
            <w:shd w:val="clear" w:color="auto" w:fill="auto"/>
            <w:vAlign w:val="center"/>
          </w:tcPr>
          <w:p w14:paraId="6D86444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符合</w:t>
            </w:r>
          </w:p>
        </w:tc>
        <w:tc>
          <w:tcPr>
            <w:tcW w:w="696" w:type="dxa"/>
            <w:shd w:val="clear" w:color="auto" w:fill="auto"/>
            <w:vAlign w:val="center"/>
          </w:tcPr>
          <w:p w14:paraId="3A84208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2</w:t>
            </w:r>
          </w:p>
        </w:tc>
        <w:tc>
          <w:tcPr>
            <w:tcW w:w="933" w:type="dxa"/>
            <w:shd w:val="clear" w:color="auto" w:fill="auto"/>
            <w:vAlign w:val="center"/>
          </w:tcPr>
          <w:p w14:paraId="77FE6B5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不符合不得分</w:t>
            </w:r>
          </w:p>
        </w:tc>
        <w:tc>
          <w:tcPr>
            <w:tcW w:w="633" w:type="dxa"/>
            <w:shd w:val="clear" w:color="auto" w:fill="auto"/>
            <w:vAlign w:val="center"/>
          </w:tcPr>
          <w:p w14:paraId="34D49C2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3</w:t>
            </w:r>
          </w:p>
        </w:tc>
      </w:tr>
      <w:tr w14:paraId="4CC947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7" w:hRule="atLeast"/>
          <w:jc w:val="center"/>
        </w:trPr>
        <w:tc>
          <w:tcPr>
            <w:tcW w:w="591" w:type="dxa"/>
            <w:vMerge w:val="continue"/>
            <w:shd w:val="clear" w:color="auto" w:fill="auto"/>
            <w:vAlign w:val="center"/>
          </w:tcPr>
          <w:p w14:paraId="130FEAF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p>
        </w:tc>
        <w:tc>
          <w:tcPr>
            <w:tcW w:w="2854" w:type="dxa"/>
            <w:shd w:val="clear" w:color="auto" w:fill="auto"/>
            <w:vAlign w:val="center"/>
          </w:tcPr>
          <w:p w14:paraId="411BBEF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7.2 自卸汽车装载应遵守如下规定：</w:t>
            </w:r>
          </w:p>
          <w:p w14:paraId="1C5084E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1、停在铲装设备回转范围0.5m以外；</w:t>
            </w:r>
          </w:p>
          <w:p w14:paraId="26DB40D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2、驾驶员不离开驾驶室，不将身体任何部位伸出驾驶室外；</w:t>
            </w:r>
          </w:p>
          <w:p w14:paraId="7A7BCCD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3、不在装载时检查、维修车辆。</w:t>
            </w:r>
          </w:p>
        </w:tc>
        <w:tc>
          <w:tcPr>
            <w:tcW w:w="1548" w:type="dxa"/>
            <w:shd w:val="clear" w:color="auto" w:fill="auto"/>
            <w:vAlign w:val="center"/>
          </w:tcPr>
          <w:p w14:paraId="47C768F9">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GB16423-2020</w:t>
            </w:r>
          </w:p>
          <w:p w14:paraId="5F02108B">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val="en-US" w:eastAsia="zh-CN" w:bidi="ar-SA"/>
              </w:rPr>
              <w:t>5.4.2.2</w:t>
            </w:r>
          </w:p>
        </w:tc>
        <w:tc>
          <w:tcPr>
            <w:tcW w:w="1099" w:type="dxa"/>
            <w:shd w:val="clear" w:color="auto" w:fill="auto"/>
            <w:vAlign w:val="center"/>
          </w:tcPr>
          <w:p w14:paraId="4CC15BC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现场检查</w:t>
            </w:r>
          </w:p>
        </w:tc>
        <w:tc>
          <w:tcPr>
            <w:tcW w:w="1017" w:type="dxa"/>
            <w:shd w:val="clear" w:color="auto" w:fill="auto"/>
            <w:vAlign w:val="center"/>
          </w:tcPr>
          <w:p w14:paraId="26729262">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符合</w:t>
            </w:r>
          </w:p>
        </w:tc>
        <w:tc>
          <w:tcPr>
            <w:tcW w:w="696" w:type="dxa"/>
            <w:shd w:val="clear" w:color="auto" w:fill="auto"/>
            <w:vAlign w:val="center"/>
          </w:tcPr>
          <w:p w14:paraId="7595FCE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6</w:t>
            </w:r>
          </w:p>
        </w:tc>
        <w:tc>
          <w:tcPr>
            <w:tcW w:w="933" w:type="dxa"/>
            <w:shd w:val="clear" w:color="auto" w:fill="auto"/>
            <w:vAlign w:val="center"/>
          </w:tcPr>
          <w:p w14:paraId="3B409AB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1项未做到扣2分</w:t>
            </w:r>
          </w:p>
        </w:tc>
        <w:tc>
          <w:tcPr>
            <w:tcW w:w="633" w:type="dxa"/>
            <w:shd w:val="clear" w:color="auto" w:fill="auto"/>
            <w:vAlign w:val="center"/>
          </w:tcPr>
          <w:p w14:paraId="5612FD1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6</w:t>
            </w:r>
          </w:p>
        </w:tc>
      </w:tr>
      <w:tr w14:paraId="261ACA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91" w:type="dxa"/>
            <w:vMerge w:val="continue"/>
            <w:shd w:val="clear" w:color="auto" w:fill="auto"/>
            <w:vAlign w:val="center"/>
          </w:tcPr>
          <w:p w14:paraId="21D2D0A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p>
        </w:tc>
        <w:tc>
          <w:tcPr>
            <w:tcW w:w="2854" w:type="dxa"/>
            <w:shd w:val="clear" w:color="auto" w:fill="auto"/>
            <w:vAlign w:val="center"/>
          </w:tcPr>
          <w:p w14:paraId="176A330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7.3 双车道的路面宽度，应保证会车安全。主要运输道路的急弯、陡坡、危险地段应设置警示标志。</w:t>
            </w:r>
          </w:p>
        </w:tc>
        <w:tc>
          <w:tcPr>
            <w:tcW w:w="1548" w:type="dxa"/>
            <w:shd w:val="clear" w:color="auto" w:fill="auto"/>
            <w:vAlign w:val="center"/>
          </w:tcPr>
          <w:p w14:paraId="5E3E87A1">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GB16423-2020</w:t>
            </w:r>
          </w:p>
          <w:p w14:paraId="51AFA32B">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val="en-US" w:eastAsia="zh-CN" w:bidi="ar-SA"/>
              </w:rPr>
              <w:t>5.4.2.3</w:t>
            </w:r>
          </w:p>
        </w:tc>
        <w:tc>
          <w:tcPr>
            <w:tcW w:w="1099" w:type="dxa"/>
            <w:shd w:val="clear" w:color="auto" w:fill="auto"/>
            <w:vAlign w:val="center"/>
          </w:tcPr>
          <w:p w14:paraId="607C9E8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现场检查</w:t>
            </w:r>
          </w:p>
        </w:tc>
        <w:tc>
          <w:tcPr>
            <w:tcW w:w="1017" w:type="dxa"/>
            <w:shd w:val="clear" w:color="auto" w:fill="auto"/>
            <w:vAlign w:val="center"/>
          </w:tcPr>
          <w:p w14:paraId="3AB7899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安全</w:t>
            </w:r>
            <w:r>
              <w:rPr>
                <w:rFonts w:hint="eastAsia"/>
                <w:color w:val="auto"/>
                <w:sz w:val="21"/>
                <w:szCs w:val="21"/>
                <w:vertAlign w:val="baseline"/>
                <w:lang w:val="en-US" w:eastAsia="zh-CN"/>
              </w:rPr>
              <w:t>警示标志不足</w:t>
            </w:r>
          </w:p>
        </w:tc>
        <w:tc>
          <w:tcPr>
            <w:tcW w:w="696" w:type="dxa"/>
            <w:shd w:val="clear" w:color="auto" w:fill="auto"/>
            <w:vAlign w:val="center"/>
          </w:tcPr>
          <w:p w14:paraId="2B22944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3</w:t>
            </w:r>
          </w:p>
        </w:tc>
        <w:tc>
          <w:tcPr>
            <w:tcW w:w="933" w:type="dxa"/>
            <w:shd w:val="clear" w:color="auto" w:fill="auto"/>
            <w:vAlign w:val="center"/>
          </w:tcPr>
          <w:p w14:paraId="2DB3E41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不符合不得分</w:t>
            </w:r>
          </w:p>
        </w:tc>
        <w:tc>
          <w:tcPr>
            <w:tcW w:w="633" w:type="dxa"/>
            <w:shd w:val="clear" w:color="auto" w:fill="auto"/>
            <w:vAlign w:val="center"/>
          </w:tcPr>
          <w:p w14:paraId="610A5D6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0</w:t>
            </w:r>
          </w:p>
        </w:tc>
      </w:tr>
      <w:tr w14:paraId="274887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91" w:type="dxa"/>
            <w:vMerge w:val="continue"/>
            <w:shd w:val="clear" w:color="auto" w:fill="auto"/>
            <w:vAlign w:val="center"/>
          </w:tcPr>
          <w:p w14:paraId="7297E75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p>
        </w:tc>
        <w:tc>
          <w:tcPr>
            <w:tcW w:w="2854" w:type="dxa"/>
            <w:shd w:val="clear" w:color="auto" w:fill="auto"/>
            <w:vAlign w:val="center"/>
          </w:tcPr>
          <w:p w14:paraId="7A8E80B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7.4 运输道路的高陡路基路段，或者弯道路、坡度较大的填方地段，远离山体一侧 应设置高度不小于车轮轮胎直径1/2的护拦、挡车墙等安全设施及醒目的警示标志。</w:t>
            </w:r>
          </w:p>
        </w:tc>
        <w:tc>
          <w:tcPr>
            <w:tcW w:w="1548" w:type="dxa"/>
            <w:shd w:val="clear" w:color="auto" w:fill="auto"/>
            <w:vAlign w:val="center"/>
          </w:tcPr>
          <w:p w14:paraId="517706D2">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GB16423-2020</w:t>
            </w:r>
          </w:p>
          <w:p w14:paraId="023099C3">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val="en-US" w:eastAsia="zh-CN" w:bidi="ar-SA"/>
              </w:rPr>
              <w:t>5.4.2.4</w:t>
            </w:r>
          </w:p>
        </w:tc>
        <w:tc>
          <w:tcPr>
            <w:tcW w:w="1099" w:type="dxa"/>
            <w:shd w:val="clear" w:color="auto" w:fill="auto"/>
            <w:vAlign w:val="center"/>
          </w:tcPr>
          <w:p w14:paraId="3A22AFC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现场检查</w:t>
            </w:r>
          </w:p>
        </w:tc>
        <w:tc>
          <w:tcPr>
            <w:tcW w:w="1017" w:type="dxa"/>
            <w:shd w:val="clear" w:color="auto" w:fill="auto"/>
            <w:vAlign w:val="center"/>
          </w:tcPr>
          <w:p w14:paraId="676A6B5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符合</w:t>
            </w:r>
          </w:p>
        </w:tc>
        <w:tc>
          <w:tcPr>
            <w:tcW w:w="696" w:type="dxa"/>
            <w:shd w:val="clear" w:color="auto" w:fill="auto"/>
            <w:vAlign w:val="center"/>
          </w:tcPr>
          <w:p w14:paraId="2B25691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2</w:t>
            </w:r>
          </w:p>
        </w:tc>
        <w:tc>
          <w:tcPr>
            <w:tcW w:w="933" w:type="dxa"/>
            <w:shd w:val="clear" w:color="auto" w:fill="auto"/>
            <w:vAlign w:val="center"/>
          </w:tcPr>
          <w:p w14:paraId="4C28A05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不符合不得分</w:t>
            </w:r>
          </w:p>
        </w:tc>
        <w:tc>
          <w:tcPr>
            <w:tcW w:w="633" w:type="dxa"/>
            <w:shd w:val="clear" w:color="auto" w:fill="auto"/>
            <w:vAlign w:val="center"/>
          </w:tcPr>
          <w:p w14:paraId="5978B17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2</w:t>
            </w:r>
          </w:p>
        </w:tc>
      </w:tr>
      <w:tr w14:paraId="4EADA7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91" w:type="dxa"/>
            <w:vMerge w:val="continue"/>
            <w:shd w:val="clear" w:color="auto" w:fill="auto"/>
            <w:vAlign w:val="center"/>
          </w:tcPr>
          <w:p w14:paraId="47F5D4C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p>
        </w:tc>
        <w:tc>
          <w:tcPr>
            <w:tcW w:w="2854" w:type="dxa"/>
            <w:shd w:val="clear" w:color="auto" w:fill="auto"/>
            <w:vAlign w:val="center"/>
          </w:tcPr>
          <w:p w14:paraId="086E73D4">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7.5 道路与铁路交叉的道口交角应不小于45°；交叉道口应设置警示牌。</w:t>
            </w:r>
          </w:p>
        </w:tc>
        <w:tc>
          <w:tcPr>
            <w:tcW w:w="1548" w:type="dxa"/>
            <w:shd w:val="clear" w:color="auto" w:fill="auto"/>
            <w:vAlign w:val="center"/>
          </w:tcPr>
          <w:p w14:paraId="1EB09B3B">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GB16423-2020</w:t>
            </w:r>
          </w:p>
          <w:p w14:paraId="0E633A30">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val="en-US" w:eastAsia="zh-CN" w:bidi="ar-SA"/>
              </w:rPr>
              <w:t>5.4.2.5</w:t>
            </w:r>
          </w:p>
        </w:tc>
        <w:tc>
          <w:tcPr>
            <w:tcW w:w="1099" w:type="dxa"/>
            <w:shd w:val="clear" w:color="auto" w:fill="auto"/>
            <w:vAlign w:val="center"/>
          </w:tcPr>
          <w:p w14:paraId="4A34C33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现场检查</w:t>
            </w:r>
          </w:p>
        </w:tc>
        <w:tc>
          <w:tcPr>
            <w:tcW w:w="1017" w:type="dxa"/>
            <w:shd w:val="clear" w:color="auto" w:fill="auto"/>
            <w:vAlign w:val="center"/>
          </w:tcPr>
          <w:p w14:paraId="6727936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不涉及</w:t>
            </w:r>
          </w:p>
        </w:tc>
        <w:tc>
          <w:tcPr>
            <w:tcW w:w="696" w:type="dxa"/>
            <w:shd w:val="clear" w:color="auto" w:fill="auto"/>
            <w:vAlign w:val="center"/>
          </w:tcPr>
          <w:p w14:paraId="3D6501B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2</w:t>
            </w:r>
          </w:p>
        </w:tc>
        <w:tc>
          <w:tcPr>
            <w:tcW w:w="933" w:type="dxa"/>
            <w:shd w:val="clear" w:color="auto" w:fill="auto"/>
            <w:vAlign w:val="center"/>
          </w:tcPr>
          <w:p w14:paraId="3DD890C0">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不符合不得分</w:t>
            </w:r>
          </w:p>
        </w:tc>
        <w:tc>
          <w:tcPr>
            <w:tcW w:w="633" w:type="dxa"/>
            <w:shd w:val="clear" w:color="auto" w:fill="auto"/>
            <w:vAlign w:val="center"/>
          </w:tcPr>
          <w:p w14:paraId="7269E0D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w:t>
            </w:r>
          </w:p>
        </w:tc>
      </w:tr>
      <w:tr w14:paraId="240F9D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7" w:hRule="atLeast"/>
          <w:jc w:val="center"/>
        </w:trPr>
        <w:tc>
          <w:tcPr>
            <w:tcW w:w="591" w:type="dxa"/>
            <w:vMerge w:val="continue"/>
            <w:shd w:val="clear" w:color="auto" w:fill="auto"/>
            <w:vAlign w:val="center"/>
          </w:tcPr>
          <w:p w14:paraId="16426CC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p>
        </w:tc>
        <w:tc>
          <w:tcPr>
            <w:tcW w:w="2854" w:type="dxa"/>
            <w:shd w:val="clear" w:color="auto" w:fill="auto"/>
            <w:vAlign w:val="center"/>
          </w:tcPr>
          <w:p w14:paraId="0B7641E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7.6 汽车运行应遵守下列规定：</w:t>
            </w:r>
          </w:p>
          <w:p w14:paraId="001F498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1、驾驶室外禁止乘人；</w:t>
            </w:r>
          </w:p>
          <w:p w14:paraId="03B330C0">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2、运行时不升降车半；</w:t>
            </w:r>
          </w:p>
          <w:p w14:paraId="68B07C5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3、不空挡滑行；</w:t>
            </w:r>
          </w:p>
          <w:p w14:paraId="46EC553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4、不弯道超车；</w:t>
            </w:r>
          </w:p>
          <w:p w14:paraId="77D063B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5、下坡车速不超过25km/h；</w:t>
            </w:r>
          </w:p>
          <w:p w14:paraId="1487EEB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6、不在主运输道路和坡道上停车；</w:t>
            </w:r>
          </w:p>
          <w:p w14:paraId="459776A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7、拖挂车辆行驶时采取可靠的安全措施，并有专人指挥；</w:t>
            </w:r>
          </w:p>
          <w:p w14:paraId="68F31E8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8、通过道口之前驾驶员减速瞭望，确认安全后再通过；</w:t>
            </w:r>
          </w:p>
          <w:p w14:paraId="7E4A8C4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9、不超载运行。</w:t>
            </w:r>
          </w:p>
        </w:tc>
        <w:tc>
          <w:tcPr>
            <w:tcW w:w="1548" w:type="dxa"/>
            <w:shd w:val="clear" w:color="auto" w:fill="auto"/>
            <w:vAlign w:val="center"/>
          </w:tcPr>
          <w:p w14:paraId="3EBD55F1">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GB16423-2020</w:t>
            </w:r>
          </w:p>
          <w:p w14:paraId="73F62F43">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val="en-US" w:eastAsia="zh-CN" w:bidi="ar-SA"/>
              </w:rPr>
              <w:t>5.4.2.6</w:t>
            </w:r>
          </w:p>
        </w:tc>
        <w:tc>
          <w:tcPr>
            <w:tcW w:w="1099" w:type="dxa"/>
            <w:shd w:val="clear" w:color="auto" w:fill="auto"/>
            <w:vAlign w:val="center"/>
          </w:tcPr>
          <w:p w14:paraId="6377C3D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现场检查</w:t>
            </w:r>
          </w:p>
        </w:tc>
        <w:tc>
          <w:tcPr>
            <w:tcW w:w="1017" w:type="dxa"/>
            <w:shd w:val="clear" w:color="auto" w:fill="auto"/>
            <w:vAlign w:val="center"/>
          </w:tcPr>
          <w:p w14:paraId="376D1A70">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符合</w:t>
            </w:r>
          </w:p>
        </w:tc>
        <w:tc>
          <w:tcPr>
            <w:tcW w:w="696" w:type="dxa"/>
            <w:shd w:val="clear" w:color="auto" w:fill="auto"/>
            <w:vAlign w:val="center"/>
          </w:tcPr>
          <w:p w14:paraId="42EE314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18</w:t>
            </w:r>
          </w:p>
        </w:tc>
        <w:tc>
          <w:tcPr>
            <w:tcW w:w="933" w:type="dxa"/>
            <w:shd w:val="clear" w:color="auto" w:fill="auto"/>
            <w:vAlign w:val="center"/>
          </w:tcPr>
          <w:p w14:paraId="199C21A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1项未做到扣2分，1项不完善扣1分</w:t>
            </w:r>
          </w:p>
        </w:tc>
        <w:tc>
          <w:tcPr>
            <w:tcW w:w="633" w:type="dxa"/>
            <w:shd w:val="clear" w:color="auto" w:fill="auto"/>
            <w:vAlign w:val="center"/>
          </w:tcPr>
          <w:p w14:paraId="6E4FFE1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18</w:t>
            </w:r>
          </w:p>
        </w:tc>
      </w:tr>
      <w:tr w14:paraId="58B56D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591" w:type="dxa"/>
            <w:vMerge w:val="continue"/>
            <w:shd w:val="clear" w:color="auto" w:fill="auto"/>
            <w:vAlign w:val="center"/>
          </w:tcPr>
          <w:p w14:paraId="1A6E213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p>
        </w:tc>
        <w:tc>
          <w:tcPr>
            <w:tcW w:w="2854" w:type="dxa"/>
            <w:shd w:val="clear" w:color="auto" w:fill="auto"/>
            <w:vAlign w:val="center"/>
          </w:tcPr>
          <w:p w14:paraId="179A005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7.7 现场检修车辆时，应采取的安全措施。</w:t>
            </w:r>
          </w:p>
        </w:tc>
        <w:tc>
          <w:tcPr>
            <w:tcW w:w="1548" w:type="dxa"/>
            <w:shd w:val="clear" w:color="auto" w:fill="auto"/>
            <w:vAlign w:val="center"/>
          </w:tcPr>
          <w:p w14:paraId="12A43A26">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GB16423-2020</w:t>
            </w:r>
          </w:p>
          <w:p w14:paraId="097281D9">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val="en-US" w:eastAsia="zh-CN" w:bidi="ar-SA"/>
              </w:rPr>
              <w:t>5.4.2.7</w:t>
            </w:r>
          </w:p>
        </w:tc>
        <w:tc>
          <w:tcPr>
            <w:tcW w:w="1099" w:type="dxa"/>
            <w:shd w:val="clear" w:color="auto" w:fill="auto"/>
            <w:vAlign w:val="center"/>
          </w:tcPr>
          <w:p w14:paraId="6F3B4E9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现场检查</w:t>
            </w:r>
          </w:p>
        </w:tc>
        <w:tc>
          <w:tcPr>
            <w:tcW w:w="1017" w:type="dxa"/>
            <w:shd w:val="clear" w:color="auto" w:fill="auto"/>
            <w:vAlign w:val="center"/>
          </w:tcPr>
          <w:p w14:paraId="123F538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符合</w:t>
            </w:r>
          </w:p>
        </w:tc>
        <w:tc>
          <w:tcPr>
            <w:tcW w:w="696" w:type="dxa"/>
            <w:shd w:val="clear" w:color="auto" w:fill="auto"/>
            <w:vAlign w:val="center"/>
          </w:tcPr>
          <w:p w14:paraId="0BEF127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2</w:t>
            </w:r>
          </w:p>
        </w:tc>
        <w:tc>
          <w:tcPr>
            <w:tcW w:w="933" w:type="dxa"/>
            <w:shd w:val="clear" w:color="auto" w:fill="auto"/>
            <w:vAlign w:val="center"/>
          </w:tcPr>
          <w:p w14:paraId="12F3D6B2">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不符合不得分</w:t>
            </w:r>
          </w:p>
        </w:tc>
        <w:tc>
          <w:tcPr>
            <w:tcW w:w="633" w:type="dxa"/>
            <w:shd w:val="clear" w:color="auto" w:fill="auto"/>
            <w:vAlign w:val="center"/>
          </w:tcPr>
          <w:p w14:paraId="351BEAF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2</w:t>
            </w:r>
          </w:p>
        </w:tc>
      </w:tr>
      <w:tr w14:paraId="6F0E91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591" w:type="dxa"/>
            <w:vMerge w:val="continue"/>
            <w:shd w:val="clear" w:color="auto" w:fill="auto"/>
            <w:vAlign w:val="center"/>
          </w:tcPr>
          <w:p w14:paraId="48EFE88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p>
        </w:tc>
        <w:tc>
          <w:tcPr>
            <w:tcW w:w="2854" w:type="dxa"/>
            <w:shd w:val="clear" w:color="auto" w:fill="auto"/>
            <w:vAlign w:val="center"/>
          </w:tcPr>
          <w:p w14:paraId="72A994B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7.8 夜间装卸车应有良好的照明条件。</w:t>
            </w:r>
          </w:p>
        </w:tc>
        <w:tc>
          <w:tcPr>
            <w:tcW w:w="1548" w:type="dxa"/>
            <w:shd w:val="clear" w:color="auto" w:fill="auto"/>
            <w:vAlign w:val="center"/>
          </w:tcPr>
          <w:p w14:paraId="4E8B96EA">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GB16423-2020</w:t>
            </w:r>
          </w:p>
          <w:p w14:paraId="57E00ADB">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val="en-US" w:eastAsia="zh-CN" w:bidi="ar-SA"/>
              </w:rPr>
              <w:t>5.4.2.8</w:t>
            </w:r>
          </w:p>
        </w:tc>
        <w:tc>
          <w:tcPr>
            <w:tcW w:w="1099" w:type="dxa"/>
            <w:shd w:val="clear" w:color="auto" w:fill="auto"/>
            <w:vAlign w:val="center"/>
          </w:tcPr>
          <w:p w14:paraId="6818194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现场检查</w:t>
            </w:r>
          </w:p>
        </w:tc>
        <w:tc>
          <w:tcPr>
            <w:tcW w:w="1017" w:type="dxa"/>
            <w:shd w:val="clear" w:color="auto" w:fill="auto"/>
            <w:vAlign w:val="center"/>
          </w:tcPr>
          <w:p w14:paraId="09357C9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无夜间作业</w:t>
            </w:r>
          </w:p>
        </w:tc>
        <w:tc>
          <w:tcPr>
            <w:tcW w:w="696" w:type="dxa"/>
            <w:shd w:val="clear" w:color="auto" w:fill="auto"/>
            <w:vAlign w:val="center"/>
          </w:tcPr>
          <w:p w14:paraId="74964F6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3</w:t>
            </w:r>
          </w:p>
        </w:tc>
        <w:tc>
          <w:tcPr>
            <w:tcW w:w="933" w:type="dxa"/>
            <w:shd w:val="clear" w:color="auto" w:fill="auto"/>
            <w:vAlign w:val="center"/>
          </w:tcPr>
          <w:p w14:paraId="03A183D4">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不符合不得分</w:t>
            </w:r>
          </w:p>
        </w:tc>
        <w:tc>
          <w:tcPr>
            <w:tcW w:w="633" w:type="dxa"/>
            <w:shd w:val="clear" w:color="auto" w:fill="auto"/>
            <w:vAlign w:val="center"/>
          </w:tcPr>
          <w:p w14:paraId="33F42BC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w:t>
            </w:r>
          </w:p>
        </w:tc>
      </w:tr>
      <w:tr w14:paraId="5BF3B4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6" w:hRule="atLeast"/>
          <w:jc w:val="center"/>
        </w:trPr>
        <w:tc>
          <w:tcPr>
            <w:tcW w:w="591" w:type="dxa"/>
            <w:vMerge w:val="continue"/>
            <w:shd w:val="clear" w:color="auto" w:fill="auto"/>
            <w:vAlign w:val="center"/>
          </w:tcPr>
          <w:p w14:paraId="5C58AAD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p>
        </w:tc>
        <w:tc>
          <w:tcPr>
            <w:tcW w:w="2854" w:type="dxa"/>
            <w:shd w:val="clear" w:color="auto" w:fill="auto"/>
            <w:vAlign w:val="center"/>
          </w:tcPr>
          <w:p w14:paraId="3D96A704">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7.9 雾霾或烟尘影响能见度时，应开户警示灯，靠右侧减速行驶，前后车间距应不小于30m，视距不足30m时，应靠右停车。冰雪或多雨季节，道路湿滑时，应有防滑措施并减速行驶，前后车距应不小于40m。拖挂其他车辆时，应采取有效的安全措施，并有专人指挥。</w:t>
            </w:r>
          </w:p>
        </w:tc>
        <w:tc>
          <w:tcPr>
            <w:tcW w:w="1548" w:type="dxa"/>
            <w:shd w:val="clear" w:color="auto" w:fill="auto"/>
            <w:vAlign w:val="center"/>
          </w:tcPr>
          <w:p w14:paraId="47845FAB">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GB16423-2020</w:t>
            </w:r>
          </w:p>
          <w:p w14:paraId="275560D2">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val="en-US" w:eastAsia="zh-CN" w:bidi="ar-SA"/>
              </w:rPr>
              <w:t>5.4.2.9</w:t>
            </w:r>
          </w:p>
        </w:tc>
        <w:tc>
          <w:tcPr>
            <w:tcW w:w="1099" w:type="dxa"/>
            <w:shd w:val="clear" w:color="auto" w:fill="auto"/>
            <w:vAlign w:val="center"/>
          </w:tcPr>
          <w:p w14:paraId="6F175FD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现场检查</w:t>
            </w:r>
          </w:p>
        </w:tc>
        <w:tc>
          <w:tcPr>
            <w:tcW w:w="1017" w:type="dxa"/>
            <w:shd w:val="clear" w:color="auto" w:fill="auto"/>
            <w:vAlign w:val="center"/>
          </w:tcPr>
          <w:p w14:paraId="1DDA3CC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符合</w:t>
            </w:r>
          </w:p>
        </w:tc>
        <w:tc>
          <w:tcPr>
            <w:tcW w:w="696" w:type="dxa"/>
            <w:shd w:val="clear" w:color="auto" w:fill="auto"/>
            <w:vAlign w:val="center"/>
          </w:tcPr>
          <w:p w14:paraId="5EE9C364">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6</w:t>
            </w:r>
          </w:p>
        </w:tc>
        <w:tc>
          <w:tcPr>
            <w:tcW w:w="933" w:type="dxa"/>
            <w:shd w:val="clear" w:color="auto" w:fill="auto"/>
            <w:vAlign w:val="center"/>
          </w:tcPr>
          <w:p w14:paraId="38F27BE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1项未做到扣2分</w:t>
            </w:r>
          </w:p>
        </w:tc>
        <w:tc>
          <w:tcPr>
            <w:tcW w:w="633" w:type="dxa"/>
            <w:shd w:val="clear" w:color="auto" w:fill="auto"/>
            <w:vAlign w:val="center"/>
          </w:tcPr>
          <w:p w14:paraId="0DBD3F74">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6</w:t>
            </w:r>
          </w:p>
        </w:tc>
      </w:tr>
      <w:tr w14:paraId="4CB641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8" w:hRule="atLeast"/>
          <w:jc w:val="center"/>
        </w:trPr>
        <w:tc>
          <w:tcPr>
            <w:tcW w:w="591" w:type="dxa"/>
            <w:vMerge w:val="continue"/>
            <w:shd w:val="clear" w:color="auto" w:fill="auto"/>
            <w:vAlign w:val="center"/>
          </w:tcPr>
          <w:p w14:paraId="53DB3B1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p>
        </w:tc>
        <w:tc>
          <w:tcPr>
            <w:tcW w:w="2854" w:type="dxa"/>
            <w:shd w:val="clear" w:color="auto" w:fill="auto"/>
            <w:vAlign w:val="center"/>
          </w:tcPr>
          <w:p w14:paraId="4638322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7.10 矿仓口周围应设围挡或防护栏杆；卸车平台受料口应设牢固的安全限位车挡，车挡高度不小于车轮轮胎直径的1/3。</w:t>
            </w:r>
          </w:p>
        </w:tc>
        <w:tc>
          <w:tcPr>
            <w:tcW w:w="1548" w:type="dxa"/>
            <w:shd w:val="clear" w:color="auto" w:fill="auto"/>
            <w:vAlign w:val="center"/>
          </w:tcPr>
          <w:p w14:paraId="58A37469">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GB16423-2020</w:t>
            </w:r>
          </w:p>
          <w:p w14:paraId="1EA6F8A2">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val="en-US" w:eastAsia="zh-CN" w:bidi="ar-SA"/>
              </w:rPr>
              <w:t>5.3.1</w:t>
            </w:r>
          </w:p>
        </w:tc>
        <w:tc>
          <w:tcPr>
            <w:tcW w:w="1099" w:type="dxa"/>
            <w:shd w:val="clear" w:color="auto" w:fill="auto"/>
            <w:vAlign w:val="center"/>
          </w:tcPr>
          <w:p w14:paraId="2927019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现场检查</w:t>
            </w:r>
          </w:p>
        </w:tc>
        <w:tc>
          <w:tcPr>
            <w:tcW w:w="1017" w:type="dxa"/>
            <w:shd w:val="clear" w:color="auto" w:fill="auto"/>
            <w:vAlign w:val="center"/>
          </w:tcPr>
          <w:p w14:paraId="475AFA1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符合</w:t>
            </w:r>
          </w:p>
        </w:tc>
        <w:tc>
          <w:tcPr>
            <w:tcW w:w="696" w:type="dxa"/>
            <w:shd w:val="clear" w:color="auto" w:fill="auto"/>
            <w:vAlign w:val="center"/>
          </w:tcPr>
          <w:p w14:paraId="7709392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2</w:t>
            </w:r>
          </w:p>
        </w:tc>
        <w:tc>
          <w:tcPr>
            <w:tcW w:w="933" w:type="dxa"/>
            <w:shd w:val="clear" w:color="auto" w:fill="auto"/>
            <w:vAlign w:val="center"/>
          </w:tcPr>
          <w:p w14:paraId="2F4BF04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不符合不得分</w:t>
            </w:r>
          </w:p>
        </w:tc>
        <w:tc>
          <w:tcPr>
            <w:tcW w:w="633" w:type="dxa"/>
            <w:shd w:val="clear" w:color="auto" w:fill="auto"/>
            <w:vAlign w:val="center"/>
          </w:tcPr>
          <w:p w14:paraId="3F0658C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3</w:t>
            </w:r>
          </w:p>
        </w:tc>
      </w:tr>
      <w:tr w14:paraId="07C19A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591" w:type="dxa"/>
            <w:shd w:val="clear" w:color="auto" w:fill="auto"/>
            <w:vAlign w:val="center"/>
          </w:tcPr>
          <w:p w14:paraId="498E60C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小计</w:t>
            </w:r>
          </w:p>
        </w:tc>
        <w:tc>
          <w:tcPr>
            <w:tcW w:w="2854" w:type="dxa"/>
            <w:shd w:val="clear" w:color="auto" w:fill="auto"/>
            <w:vAlign w:val="center"/>
          </w:tcPr>
          <w:p w14:paraId="425B203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p>
        </w:tc>
        <w:tc>
          <w:tcPr>
            <w:tcW w:w="1548" w:type="dxa"/>
            <w:shd w:val="clear" w:color="auto" w:fill="auto"/>
            <w:vAlign w:val="center"/>
          </w:tcPr>
          <w:p w14:paraId="60ED2D9B">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p>
        </w:tc>
        <w:tc>
          <w:tcPr>
            <w:tcW w:w="1099" w:type="dxa"/>
            <w:shd w:val="clear" w:color="auto" w:fill="auto"/>
            <w:vAlign w:val="center"/>
          </w:tcPr>
          <w:p w14:paraId="040B04F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p>
        </w:tc>
        <w:tc>
          <w:tcPr>
            <w:tcW w:w="1017" w:type="dxa"/>
            <w:shd w:val="clear" w:color="auto" w:fill="auto"/>
            <w:vAlign w:val="center"/>
          </w:tcPr>
          <w:p w14:paraId="6758EDE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p>
        </w:tc>
        <w:tc>
          <w:tcPr>
            <w:tcW w:w="696" w:type="dxa"/>
            <w:shd w:val="clear" w:color="auto" w:fill="auto"/>
            <w:vAlign w:val="center"/>
          </w:tcPr>
          <w:p w14:paraId="62CA697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190</w:t>
            </w:r>
          </w:p>
        </w:tc>
        <w:tc>
          <w:tcPr>
            <w:tcW w:w="933" w:type="dxa"/>
            <w:shd w:val="clear" w:color="auto" w:fill="auto"/>
            <w:vAlign w:val="center"/>
          </w:tcPr>
          <w:p w14:paraId="19779D54">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p>
        </w:tc>
        <w:tc>
          <w:tcPr>
            <w:tcW w:w="633" w:type="dxa"/>
            <w:shd w:val="clear" w:color="auto" w:fill="auto"/>
            <w:vAlign w:val="center"/>
          </w:tcPr>
          <w:p w14:paraId="670D413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181</w:t>
            </w:r>
          </w:p>
        </w:tc>
      </w:tr>
    </w:tbl>
    <w:p w14:paraId="1C014480">
      <w:pPr>
        <w:pStyle w:val="4"/>
        <w:bidi w:val="0"/>
        <w:rPr>
          <w:rFonts w:hint="default"/>
          <w:color w:val="auto"/>
          <w:lang w:val="en-US" w:eastAsia="zh-CN"/>
        </w:rPr>
      </w:pPr>
      <w:bookmarkStart w:id="285" w:name="_Toc25565"/>
      <w:bookmarkStart w:id="286" w:name="_Toc16629"/>
      <w:bookmarkStart w:id="287" w:name="_Toc8656"/>
      <w:r>
        <w:rPr>
          <w:rFonts w:hint="default"/>
          <w:color w:val="auto"/>
          <w:lang w:val="en-US" w:eastAsia="zh-CN"/>
        </w:rPr>
        <w:t>5.</w:t>
      </w:r>
      <w:r>
        <w:rPr>
          <w:rFonts w:hint="eastAsia"/>
          <w:color w:val="auto"/>
          <w:lang w:val="en-US" w:eastAsia="zh-CN"/>
        </w:rPr>
        <w:t>2</w:t>
      </w:r>
      <w:r>
        <w:rPr>
          <w:rFonts w:hint="default"/>
          <w:color w:val="auto"/>
          <w:lang w:val="en-US" w:eastAsia="zh-CN"/>
        </w:rPr>
        <w:t>.2</w:t>
      </w:r>
      <w:r>
        <w:rPr>
          <w:rFonts w:hint="eastAsia"/>
          <w:color w:val="auto"/>
          <w:lang w:val="en-US" w:eastAsia="zh-CN"/>
        </w:rPr>
        <w:t xml:space="preserve"> </w:t>
      </w:r>
      <w:r>
        <w:rPr>
          <w:rFonts w:hint="default"/>
          <w:color w:val="auto"/>
          <w:lang w:val="en-US" w:eastAsia="zh-CN"/>
        </w:rPr>
        <w:t>评价小结</w:t>
      </w:r>
      <w:bookmarkEnd w:id="285"/>
      <w:bookmarkEnd w:id="286"/>
      <w:bookmarkEnd w:id="287"/>
    </w:p>
    <w:p w14:paraId="22C797D1">
      <w:pPr>
        <w:bidi w:val="0"/>
        <w:rPr>
          <w:rFonts w:hint="default"/>
          <w:color w:val="auto"/>
          <w:lang w:val="en-US" w:eastAsia="zh-CN"/>
        </w:rPr>
      </w:pPr>
      <w:r>
        <w:rPr>
          <w:rFonts w:hint="default"/>
          <w:color w:val="auto"/>
          <w:lang w:val="en-US" w:eastAsia="zh-CN"/>
        </w:rPr>
        <w:t>江西省坤育矿业有限公司德安县聂桥镇刘家山矿区建筑用辉绿岩矿露天开采</w:t>
      </w:r>
      <w:r>
        <w:rPr>
          <w:rFonts w:hint="eastAsia"/>
          <w:color w:val="auto"/>
          <w:lang w:val="en-US" w:eastAsia="zh-CN"/>
        </w:rPr>
        <w:t>工程</w:t>
      </w:r>
      <w:r>
        <w:rPr>
          <w:rFonts w:hint="default"/>
          <w:color w:val="auto"/>
          <w:lang w:val="en-US" w:eastAsia="zh-CN"/>
        </w:rPr>
        <w:t>露天采场单元</w:t>
      </w:r>
      <w:r>
        <w:rPr>
          <w:rFonts w:hint="eastAsia"/>
          <w:color w:val="auto"/>
          <w:lang w:val="en-US" w:eastAsia="zh-CN"/>
        </w:rPr>
        <w:t>安全</w:t>
      </w:r>
      <w:r>
        <w:rPr>
          <w:rFonts w:hint="default"/>
          <w:color w:val="auto"/>
          <w:lang w:val="en-US" w:eastAsia="zh-CN"/>
        </w:rPr>
        <w:t>检查表中否决项为</w:t>
      </w:r>
      <w:r>
        <w:rPr>
          <w:rFonts w:hint="eastAsia" w:ascii="宋体" w:hAnsi="宋体" w:eastAsia="宋体" w:cs="宋体"/>
          <w:color w:val="auto"/>
          <w:lang w:val="en-US" w:eastAsia="zh-CN"/>
        </w:rPr>
        <w:t>“</w:t>
      </w:r>
      <w:r>
        <w:rPr>
          <w:rFonts w:hint="default"/>
          <w:color w:val="auto"/>
          <w:lang w:val="en-US" w:eastAsia="zh-CN"/>
        </w:rPr>
        <w:t>合格</w:t>
      </w:r>
      <w:r>
        <w:rPr>
          <w:rFonts w:hint="eastAsia" w:ascii="宋体" w:hAnsi="宋体" w:eastAsia="宋体" w:cs="宋体"/>
          <w:color w:val="auto"/>
          <w:lang w:val="en-US" w:eastAsia="zh-CN"/>
        </w:rPr>
        <w:t>”</w:t>
      </w:r>
      <w:r>
        <w:rPr>
          <w:rFonts w:hint="default"/>
          <w:color w:val="auto"/>
          <w:lang w:val="en-US" w:eastAsia="zh-CN"/>
        </w:rPr>
        <w:t>，一般项总分</w:t>
      </w:r>
      <w:r>
        <w:rPr>
          <w:rFonts w:hint="eastAsia"/>
          <w:color w:val="auto"/>
          <w:lang w:val="en-US" w:eastAsia="zh-CN"/>
        </w:rPr>
        <w:t>190</w:t>
      </w:r>
      <w:r>
        <w:rPr>
          <w:rFonts w:hint="default"/>
          <w:color w:val="auto"/>
          <w:lang w:val="en-US" w:eastAsia="zh-CN"/>
        </w:rPr>
        <w:t>分，</w:t>
      </w:r>
      <w:r>
        <w:rPr>
          <w:rFonts w:hint="eastAsia"/>
          <w:color w:val="auto"/>
          <w:lang w:val="en-US" w:eastAsia="zh-CN"/>
        </w:rPr>
        <w:t>得分</w:t>
      </w:r>
      <w:r>
        <w:rPr>
          <w:rFonts w:hint="default"/>
          <w:color w:val="auto"/>
          <w:lang w:val="en-US" w:eastAsia="zh-CN"/>
        </w:rPr>
        <w:t>1</w:t>
      </w:r>
      <w:r>
        <w:rPr>
          <w:rFonts w:hint="eastAsia"/>
          <w:color w:val="auto"/>
          <w:lang w:val="en-US" w:eastAsia="zh-CN"/>
        </w:rPr>
        <w:t>81</w:t>
      </w:r>
      <w:r>
        <w:rPr>
          <w:rFonts w:hint="default"/>
          <w:color w:val="auto"/>
          <w:lang w:val="en-US" w:eastAsia="zh-CN"/>
        </w:rPr>
        <w:t>分，得分率为</w:t>
      </w:r>
      <w:r>
        <w:rPr>
          <w:rFonts w:hint="eastAsia"/>
          <w:color w:val="auto"/>
          <w:lang w:val="en-US" w:eastAsia="zh-CN"/>
        </w:rPr>
        <w:t>95.26</w:t>
      </w:r>
      <w:r>
        <w:rPr>
          <w:rFonts w:hint="default"/>
          <w:color w:val="auto"/>
          <w:lang w:val="en-US" w:eastAsia="zh-CN"/>
        </w:rPr>
        <w:t>%，说明江西省坤育矿业有限公司德安县聂桥镇刘家山矿区建筑用辉绿岩矿露天开采</w:t>
      </w:r>
      <w:r>
        <w:rPr>
          <w:rFonts w:hint="eastAsia"/>
          <w:color w:val="auto"/>
          <w:lang w:val="en-US" w:eastAsia="zh-CN"/>
        </w:rPr>
        <w:t>工程</w:t>
      </w:r>
      <w:r>
        <w:rPr>
          <w:rFonts w:hint="default"/>
          <w:color w:val="auto"/>
          <w:lang w:val="en-US" w:eastAsia="zh-CN"/>
        </w:rPr>
        <w:t>露天采场单元具备安全生产条件。</w:t>
      </w:r>
    </w:p>
    <w:p w14:paraId="2C6C2130">
      <w:pPr>
        <w:bidi w:val="0"/>
        <w:rPr>
          <w:rFonts w:hint="default"/>
          <w:color w:val="auto"/>
          <w:lang w:val="en-US" w:eastAsia="zh-CN"/>
        </w:rPr>
      </w:pPr>
      <w:r>
        <w:rPr>
          <w:rFonts w:hint="default"/>
          <w:color w:val="auto"/>
          <w:lang w:val="en-US" w:eastAsia="zh-CN"/>
        </w:rPr>
        <w:t>存在的主要问题</w:t>
      </w:r>
      <w:r>
        <w:rPr>
          <w:rFonts w:hint="eastAsia"/>
          <w:color w:val="auto"/>
          <w:lang w:val="en-US" w:eastAsia="zh-CN"/>
        </w:rPr>
        <w:t>：1）</w:t>
      </w:r>
      <w:r>
        <w:rPr>
          <w:rFonts w:hint="default"/>
          <w:color w:val="auto"/>
          <w:lang w:val="en-US" w:eastAsia="zh-CN"/>
        </w:rPr>
        <w:t>图纸不齐全</w:t>
      </w:r>
      <w:r>
        <w:rPr>
          <w:rFonts w:hint="eastAsia" w:ascii="宋体" w:hAnsi="宋体" w:eastAsia="宋体" w:cs="宋体"/>
          <w:color w:val="auto"/>
          <w:lang w:val="en-US" w:eastAsia="zh-CN"/>
        </w:rPr>
        <w:t>；</w:t>
      </w:r>
      <w:r>
        <w:rPr>
          <w:rFonts w:hint="eastAsia"/>
          <w:color w:val="auto"/>
          <w:lang w:val="en-US" w:eastAsia="zh-CN"/>
        </w:rPr>
        <w:t>2）</w:t>
      </w:r>
      <w:r>
        <w:rPr>
          <w:rFonts w:hint="default"/>
          <w:color w:val="auto"/>
          <w:lang w:val="en-US" w:eastAsia="zh-CN"/>
        </w:rPr>
        <w:t>安全警示标志牌不足。</w:t>
      </w:r>
    </w:p>
    <w:p w14:paraId="3C4325A8">
      <w:pPr>
        <w:pStyle w:val="3"/>
        <w:bidi w:val="0"/>
        <w:rPr>
          <w:rFonts w:hint="default"/>
          <w:color w:val="auto"/>
          <w:lang w:val="en-US" w:eastAsia="zh-CN"/>
        </w:rPr>
      </w:pPr>
      <w:bookmarkStart w:id="288" w:name="_Toc4835"/>
      <w:bookmarkStart w:id="289" w:name="_Toc21815"/>
      <w:bookmarkStart w:id="290" w:name="_Toc9064"/>
      <w:r>
        <w:rPr>
          <w:rFonts w:hint="default"/>
          <w:color w:val="auto"/>
          <w:lang w:val="en-US" w:eastAsia="zh-CN"/>
        </w:rPr>
        <w:t>5.3</w:t>
      </w:r>
      <w:r>
        <w:rPr>
          <w:rFonts w:hint="eastAsia"/>
          <w:color w:val="auto"/>
          <w:lang w:val="en-US" w:eastAsia="zh-CN"/>
        </w:rPr>
        <w:t xml:space="preserve"> </w:t>
      </w:r>
      <w:r>
        <w:rPr>
          <w:rFonts w:hint="default"/>
          <w:color w:val="auto"/>
          <w:lang w:val="en-US" w:eastAsia="zh-CN"/>
        </w:rPr>
        <w:t>边坡管理单元</w:t>
      </w:r>
      <w:bookmarkEnd w:id="288"/>
      <w:bookmarkEnd w:id="289"/>
      <w:bookmarkEnd w:id="290"/>
    </w:p>
    <w:p w14:paraId="006AA7AC">
      <w:pPr>
        <w:pStyle w:val="4"/>
        <w:bidi w:val="0"/>
        <w:rPr>
          <w:rFonts w:hint="default"/>
          <w:color w:val="auto"/>
          <w:lang w:val="en-US" w:eastAsia="zh-CN"/>
        </w:rPr>
      </w:pPr>
      <w:bookmarkStart w:id="291" w:name="_Toc22400"/>
      <w:bookmarkStart w:id="292" w:name="_Toc19589"/>
      <w:bookmarkStart w:id="293" w:name="_Toc17299"/>
      <w:r>
        <w:rPr>
          <w:rFonts w:hint="default"/>
          <w:color w:val="auto"/>
          <w:lang w:val="en-US" w:eastAsia="zh-CN"/>
        </w:rPr>
        <w:t>5.3.1</w:t>
      </w:r>
      <w:r>
        <w:rPr>
          <w:rFonts w:hint="eastAsia"/>
          <w:color w:val="auto"/>
          <w:lang w:val="en-US" w:eastAsia="zh-CN"/>
        </w:rPr>
        <w:t xml:space="preserve"> 边坡管理</w:t>
      </w:r>
      <w:r>
        <w:rPr>
          <w:rFonts w:hint="default"/>
          <w:color w:val="auto"/>
          <w:lang w:val="en-US" w:eastAsia="zh-CN"/>
        </w:rPr>
        <w:t>安全检查表</w:t>
      </w:r>
      <w:bookmarkEnd w:id="291"/>
      <w:bookmarkEnd w:id="292"/>
      <w:bookmarkEnd w:id="293"/>
    </w:p>
    <w:p w14:paraId="2E03D02A">
      <w:pPr>
        <w:rPr>
          <w:rFonts w:hint="default"/>
          <w:color w:val="auto"/>
          <w:lang w:val="en-US" w:eastAsia="zh-CN"/>
        </w:rPr>
      </w:pPr>
      <w:r>
        <w:rPr>
          <w:rFonts w:hint="default"/>
          <w:color w:val="auto"/>
          <w:lang w:val="en-US" w:eastAsia="zh-CN"/>
        </w:rPr>
        <w:t>边坡管理安全检查表</w:t>
      </w:r>
      <w:r>
        <w:rPr>
          <w:rFonts w:hint="eastAsia"/>
          <w:color w:val="auto"/>
          <w:lang w:val="en-US" w:eastAsia="zh-CN"/>
        </w:rPr>
        <w:t>见</w:t>
      </w:r>
      <w:r>
        <w:rPr>
          <w:rFonts w:hint="default"/>
          <w:color w:val="auto"/>
          <w:lang w:val="en-US" w:eastAsia="zh-CN"/>
        </w:rPr>
        <w:t>表5.</w:t>
      </w:r>
      <w:r>
        <w:rPr>
          <w:rFonts w:hint="eastAsia"/>
          <w:color w:val="auto"/>
          <w:lang w:val="en-US" w:eastAsia="zh-CN"/>
        </w:rPr>
        <w:t>3</w:t>
      </w:r>
      <w:r>
        <w:rPr>
          <w:rFonts w:hint="default"/>
          <w:color w:val="auto"/>
          <w:lang w:val="en-US" w:eastAsia="zh-CN"/>
        </w:rPr>
        <w:t>-1所示。</w:t>
      </w:r>
    </w:p>
    <w:p w14:paraId="058F6A7D">
      <w:pPr>
        <w:ind w:left="0" w:leftChars="0" w:firstLine="0" w:firstLineChars="0"/>
        <w:jc w:val="center"/>
        <w:rPr>
          <w:rFonts w:hint="default"/>
          <w:color w:val="auto"/>
          <w:lang w:val="en-US" w:eastAsia="zh-CN"/>
        </w:rPr>
      </w:pPr>
      <w:r>
        <w:rPr>
          <w:rFonts w:hint="default"/>
          <w:color w:val="auto"/>
          <w:lang w:val="en-US" w:eastAsia="zh-CN"/>
        </w:rPr>
        <w:t>表5.</w:t>
      </w:r>
      <w:r>
        <w:rPr>
          <w:rFonts w:hint="eastAsia"/>
          <w:color w:val="auto"/>
          <w:lang w:val="en-US" w:eastAsia="zh-CN"/>
        </w:rPr>
        <w:t>3</w:t>
      </w:r>
      <w:r>
        <w:rPr>
          <w:rFonts w:hint="default"/>
          <w:color w:val="auto"/>
          <w:lang w:val="en-US" w:eastAsia="zh-CN"/>
        </w:rPr>
        <w:t>-1</w:t>
      </w:r>
      <w:r>
        <w:rPr>
          <w:rFonts w:hint="eastAsia"/>
          <w:color w:val="auto"/>
          <w:lang w:val="en-US" w:eastAsia="zh-CN"/>
        </w:rPr>
        <w:t xml:space="preserve"> 边坡管理安全检查表</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8"/>
        <w:gridCol w:w="2498"/>
        <w:gridCol w:w="1537"/>
        <w:gridCol w:w="1267"/>
        <w:gridCol w:w="924"/>
        <w:gridCol w:w="750"/>
        <w:gridCol w:w="853"/>
        <w:gridCol w:w="501"/>
      </w:tblGrid>
      <w:tr w14:paraId="457CA8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8" w:type="dxa"/>
            <w:vAlign w:val="center"/>
          </w:tcPr>
          <w:p w14:paraId="26902B7F">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b/>
                <w:bCs/>
                <w:color w:val="auto"/>
                <w:sz w:val="21"/>
                <w:szCs w:val="21"/>
                <w:vertAlign w:val="baseline"/>
                <w:lang w:val="en-US" w:eastAsia="zh-CN"/>
              </w:rPr>
            </w:pPr>
            <w:r>
              <w:rPr>
                <w:rFonts w:hint="eastAsia"/>
                <w:b/>
                <w:bCs/>
                <w:color w:val="auto"/>
                <w:sz w:val="21"/>
                <w:szCs w:val="21"/>
                <w:vertAlign w:val="baseline"/>
                <w:lang w:val="en-US" w:eastAsia="zh-CN"/>
              </w:rPr>
              <w:t>序号</w:t>
            </w:r>
          </w:p>
        </w:tc>
        <w:tc>
          <w:tcPr>
            <w:tcW w:w="2498" w:type="dxa"/>
            <w:vAlign w:val="center"/>
          </w:tcPr>
          <w:p w14:paraId="0829F6F7">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b/>
                <w:bCs/>
                <w:color w:val="auto"/>
                <w:sz w:val="21"/>
                <w:szCs w:val="21"/>
                <w:vertAlign w:val="baseline"/>
                <w:lang w:val="en-US" w:eastAsia="zh-CN"/>
              </w:rPr>
            </w:pPr>
            <w:r>
              <w:rPr>
                <w:rFonts w:hint="eastAsia"/>
                <w:b/>
                <w:bCs/>
                <w:color w:val="auto"/>
                <w:sz w:val="21"/>
                <w:szCs w:val="21"/>
                <w:vertAlign w:val="baseline"/>
                <w:lang w:val="en-US" w:eastAsia="zh-CN"/>
              </w:rPr>
              <w:t>检查内容</w:t>
            </w:r>
          </w:p>
        </w:tc>
        <w:tc>
          <w:tcPr>
            <w:tcW w:w="1537" w:type="dxa"/>
            <w:vAlign w:val="center"/>
          </w:tcPr>
          <w:p w14:paraId="7D166D15">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b/>
                <w:bCs/>
                <w:color w:val="auto"/>
                <w:sz w:val="21"/>
                <w:szCs w:val="21"/>
                <w:vertAlign w:val="baseline"/>
                <w:lang w:val="en-US" w:eastAsia="zh-CN"/>
              </w:rPr>
            </w:pPr>
            <w:r>
              <w:rPr>
                <w:rFonts w:hint="default"/>
                <w:b/>
                <w:bCs/>
                <w:color w:val="auto"/>
                <w:sz w:val="21"/>
                <w:szCs w:val="21"/>
                <w:vertAlign w:val="baseline"/>
                <w:lang w:val="en-US" w:eastAsia="zh-CN"/>
              </w:rPr>
              <w:t>检查依据</w:t>
            </w:r>
          </w:p>
        </w:tc>
        <w:tc>
          <w:tcPr>
            <w:tcW w:w="1267" w:type="dxa"/>
            <w:vAlign w:val="center"/>
          </w:tcPr>
          <w:p w14:paraId="21B35686">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b/>
                <w:bCs/>
                <w:color w:val="auto"/>
                <w:sz w:val="21"/>
                <w:szCs w:val="21"/>
                <w:vertAlign w:val="baseline"/>
                <w:lang w:val="en-US" w:eastAsia="zh-CN"/>
              </w:rPr>
            </w:pPr>
            <w:r>
              <w:rPr>
                <w:rFonts w:hint="default"/>
                <w:b/>
                <w:bCs/>
                <w:color w:val="auto"/>
                <w:sz w:val="21"/>
                <w:szCs w:val="21"/>
                <w:vertAlign w:val="baseline"/>
                <w:lang w:val="en-US" w:eastAsia="zh-CN"/>
              </w:rPr>
              <w:t>检查方法及地点</w:t>
            </w:r>
          </w:p>
        </w:tc>
        <w:tc>
          <w:tcPr>
            <w:tcW w:w="924" w:type="dxa"/>
            <w:vAlign w:val="center"/>
          </w:tcPr>
          <w:p w14:paraId="1CDF52B7">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b/>
                <w:bCs/>
                <w:color w:val="auto"/>
                <w:sz w:val="21"/>
                <w:szCs w:val="21"/>
                <w:vertAlign w:val="baseline"/>
                <w:lang w:val="en-US" w:eastAsia="zh-CN"/>
              </w:rPr>
            </w:pPr>
            <w:r>
              <w:rPr>
                <w:rFonts w:hint="default"/>
                <w:b/>
                <w:bCs/>
                <w:color w:val="auto"/>
                <w:sz w:val="21"/>
                <w:szCs w:val="21"/>
                <w:vertAlign w:val="baseline"/>
                <w:lang w:val="en-US" w:eastAsia="zh-CN"/>
              </w:rPr>
              <w:t>检查</w:t>
            </w:r>
          </w:p>
          <w:p w14:paraId="4D039F75">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b/>
                <w:bCs/>
                <w:color w:val="auto"/>
                <w:sz w:val="21"/>
                <w:szCs w:val="21"/>
                <w:vertAlign w:val="baseline"/>
                <w:lang w:val="en-US" w:eastAsia="zh-CN"/>
              </w:rPr>
            </w:pPr>
            <w:r>
              <w:rPr>
                <w:rFonts w:hint="default"/>
                <w:b/>
                <w:bCs/>
                <w:color w:val="auto"/>
                <w:sz w:val="21"/>
                <w:szCs w:val="21"/>
                <w:vertAlign w:val="baseline"/>
                <w:lang w:val="en-US" w:eastAsia="zh-CN"/>
              </w:rPr>
              <w:t>记录</w:t>
            </w:r>
          </w:p>
        </w:tc>
        <w:tc>
          <w:tcPr>
            <w:tcW w:w="750" w:type="dxa"/>
            <w:vAlign w:val="center"/>
          </w:tcPr>
          <w:p w14:paraId="6E3E5939">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b/>
                <w:bCs/>
                <w:color w:val="auto"/>
                <w:sz w:val="21"/>
                <w:szCs w:val="21"/>
                <w:vertAlign w:val="baseline"/>
                <w:lang w:val="en-US" w:eastAsia="zh-CN"/>
              </w:rPr>
            </w:pPr>
            <w:r>
              <w:rPr>
                <w:rFonts w:hint="default"/>
                <w:b/>
                <w:bCs/>
                <w:color w:val="auto"/>
                <w:sz w:val="21"/>
                <w:szCs w:val="21"/>
                <w:vertAlign w:val="baseline"/>
                <w:lang w:val="en-US" w:eastAsia="zh-CN"/>
              </w:rPr>
              <w:t>标准</w:t>
            </w:r>
          </w:p>
          <w:p w14:paraId="0771478B">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b/>
                <w:bCs/>
                <w:color w:val="auto"/>
                <w:sz w:val="21"/>
                <w:szCs w:val="21"/>
                <w:vertAlign w:val="baseline"/>
                <w:lang w:val="en-US" w:eastAsia="zh-CN"/>
              </w:rPr>
            </w:pPr>
            <w:r>
              <w:rPr>
                <w:rFonts w:hint="default"/>
                <w:b/>
                <w:bCs/>
                <w:color w:val="auto"/>
                <w:sz w:val="21"/>
                <w:szCs w:val="21"/>
                <w:vertAlign w:val="baseline"/>
                <w:lang w:val="en-US" w:eastAsia="zh-CN"/>
              </w:rPr>
              <w:t>分值</w:t>
            </w:r>
          </w:p>
        </w:tc>
        <w:tc>
          <w:tcPr>
            <w:tcW w:w="853" w:type="dxa"/>
            <w:vAlign w:val="center"/>
          </w:tcPr>
          <w:p w14:paraId="65365FC4">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b/>
                <w:bCs/>
                <w:color w:val="auto"/>
                <w:sz w:val="21"/>
                <w:szCs w:val="21"/>
                <w:vertAlign w:val="baseline"/>
                <w:lang w:val="en-US" w:eastAsia="zh-CN"/>
              </w:rPr>
            </w:pPr>
            <w:r>
              <w:rPr>
                <w:rFonts w:hint="default"/>
                <w:b/>
                <w:bCs/>
                <w:color w:val="auto"/>
                <w:sz w:val="21"/>
                <w:szCs w:val="21"/>
                <w:vertAlign w:val="baseline"/>
                <w:lang w:val="en-US" w:eastAsia="zh-CN"/>
              </w:rPr>
              <w:t>评分</w:t>
            </w:r>
          </w:p>
          <w:p w14:paraId="6F4F2331">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b/>
                <w:bCs/>
                <w:color w:val="auto"/>
                <w:sz w:val="21"/>
                <w:szCs w:val="21"/>
                <w:vertAlign w:val="baseline"/>
                <w:lang w:val="en-US" w:eastAsia="zh-CN"/>
              </w:rPr>
            </w:pPr>
            <w:r>
              <w:rPr>
                <w:rFonts w:hint="default"/>
                <w:b/>
                <w:bCs/>
                <w:color w:val="auto"/>
                <w:sz w:val="21"/>
                <w:szCs w:val="21"/>
                <w:vertAlign w:val="baseline"/>
                <w:lang w:val="en-US" w:eastAsia="zh-CN"/>
              </w:rPr>
              <w:t>标准</w:t>
            </w:r>
          </w:p>
        </w:tc>
        <w:tc>
          <w:tcPr>
            <w:tcW w:w="501" w:type="dxa"/>
            <w:vAlign w:val="center"/>
          </w:tcPr>
          <w:p w14:paraId="44EA1C95">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b/>
                <w:bCs/>
                <w:color w:val="auto"/>
                <w:sz w:val="21"/>
                <w:szCs w:val="21"/>
                <w:vertAlign w:val="baseline"/>
                <w:lang w:val="en-US" w:eastAsia="zh-CN"/>
              </w:rPr>
            </w:pPr>
            <w:r>
              <w:rPr>
                <w:rFonts w:hint="eastAsia"/>
                <w:b/>
                <w:bCs/>
                <w:color w:val="auto"/>
                <w:sz w:val="21"/>
                <w:szCs w:val="21"/>
                <w:vertAlign w:val="baseline"/>
                <w:lang w:val="en-US" w:eastAsia="zh-CN"/>
              </w:rPr>
              <w:t>得分</w:t>
            </w:r>
          </w:p>
        </w:tc>
      </w:tr>
      <w:tr w14:paraId="5364E7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3" w:hRule="atLeast"/>
          <w:jc w:val="center"/>
        </w:trPr>
        <w:tc>
          <w:tcPr>
            <w:tcW w:w="958" w:type="dxa"/>
            <w:vAlign w:val="center"/>
          </w:tcPr>
          <w:p w14:paraId="56FF9969">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1</w:t>
            </w:r>
          </w:p>
        </w:tc>
        <w:tc>
          <w:tcPr>
            <w:tcW w:w="2498" w:type="dxa"/>
            <w:vAlign w:val="center"/>
          </w:tcPr>
          <w:p w14:paraId="0B871A56">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露天边坡应符合设计要求，保证边坡整体的安全稳定。</w:t>
            </w:r>
          </w:p>
        </w:tc>
        <w:tc>
          <w:tcPr>
            <w:tcW w:w="1537" w:type="dxa"/>
            <w:vAlign w:val="center"/>
          </w:tcPr>
          <w:p w14:paraId="0D975CC6">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GB16423-2020</w:t>
            </w:r>
          </w:p>
          <w:p w14:paraId="321FAA9D">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5.2.4.1</w:t>
            </w:r>
          </w:p>
        </w:tc>
        <w:tc>
          <w:tcPr>
            <w:tcW w:w="1267" w:type="dxa"/>
            <w:vAlign w:val="center"/>
          </w:tcPr>
          <w:p w14:paraId="1DD2710C">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对照设计查现场</w:t>
            </w:r>
          </w:p>
        </w:tc>
        <w:tc>
          <w:tcPr>
            <w:tcW w:w="924" w:type="dxa"/>
            <w:vAlign w:val="center"/>
          </w:tcPr>
          <w:p w14:paraId="141B0CA1">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符合规</w:t>
            </w:r>
          </w:p>
          <w:p w14:paraId="0421500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程要求</w:t>
            </w:r>
          </w:p>
        </w:tc>
        <w:tc>
          <w:tcPr>
            <w:tcW w:w="750" w:type="dxa"/>
            <w:vAlign w:val="center"/>
          </w:tcPr>
          <w:p w14:paraId="0F3601FC">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4</w:t>
            </w:r>
          </w:p>
        </w:tc>
        <w:tc>
          <w:tcPr>
            <w:tcW w:w="853" w:type="dxa"/>
            <w:vAlign w:val="center"/>
          </w:tcPr>
          <w:p w14:paraId="07ECC9A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不符合不得分</w:t>
            </w:r>
          </w:p>
        </w:tc>
        <w:tc>
          <w:tcPr>
            <w:tcW w:w="501" w:type="dxa"/>
            <w:vAlign w:val="center"/>
          </w:tcPr>
          <w:p w14:paraId="76D18A41">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4</w:t>
            </w:r>
          </w:p>
        </w:tc>
      </w:tr>
      <w:tr w14:paraId="5A7EC7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4" w:hRule="atLeast"/>
          <w:jc w:val="center"/>
        </w:trPr>
        <w:tc>
          <w:tcPr>
            <w:tcW w:w="958" w:type="dxa"/>
            <w:vAlign w:val="center"/>
          </w:tcPr>
          <w:p w14:paraId="6B0897D0">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2</w:t>
            </w:r>
          </w:p>
        </w:tc>
        <w:tc>
          <w:tcPr>
            <w:tcW w:w="2498" w:type="dxa"/>
            <w:vAlign w:val="center"/>
          </w:tcPr>
          <w:p w14:paraId="78A5DA7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邻近最终边坡作业应遵守下列规定：</w:t>
            </w:r>
          </w:p>
          <w:p w14:paraId="38C72413">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——控制爆破减震；</w:t>
            </w:r>
          </w:p>
          <w:p w14:paraId="20407999">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——保持台阶的安全坡面角，不应超挖坡底。</w:t>
            </w:r>
          </w:p>
        </w:tc>
        <w:tc>
          <w:tcPr>
            <w:tcW w:w="1537" w:type="dxa"/>
            <w:vAlign w:val="center"/>
          </w:tcPr>
          <w:p w14:paraId="65FC7ED1">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GB16423-2020</w:t>
            </w:r>
          </w:p>
          <w:p w14:paraId="3BE45EDA">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5.2.4.2</w:t>
            </w:r>
          </w:p>
        </w:tc>
        <w:tc>
          <w:tcPr>
            <w:tcW w:w="1267" w:type="dxa"/>
            <w:vAlign w:val="center"/>
          </w:tcPr>
          <w:p w14:paraId="7ABAE36B">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查看现场</w:t>
            </w:r>
          </w:p>
        </w:tc>
        <w:tc>
          <w:tcPr>
            <w:tcW w:w="924" w:type="dxa"/>
            <w:vAlign w:val="center"/>
          </w:tcPr>
          <w:p w14:paraId="4AF0B500">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符合规</w:t>
            </w:r>
          </w:p>
          <w:p w14:paraId="258DB6A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程要求</w:t>
            </w:r>
          </w:p>
        </w:tc>
        <w:tc>
          <w:tcPr>
            <w:tcW w:w="750" w:type="dxa"/>
            <w:vAlign w:val="center"/>
          </w:tcPr>
          <w:p w14:paraId="5D84BBCA">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2</w:t>
            </w:r>
          </w:p>
        </w:tc>
        <w:tc>
          <w:tcPr>
            <w:tcW w:w="853" w:type="dxa"/>
            <w:vAlign w:val="center"/>
          </w:tcPr>
          <w:p w14:paraId="055CFD95">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1项不符合扣1分</w:t>
            </w:r>
          </w:p>
        </w:tc>
        <w:tc>
          <w:tcPr>
            <w:tcW w:w="501" w:type="dxa"/>
            <w:vAlign w:val="center"/>
          </w:tcPr>
          <w:p w14:paraId="62B4D268">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2</w:t>
            </w:r>
          </w:p>
        </w:tc>
      </w:tr>
      <w:tr w14:paraId="05439E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8" w:hRule="atLeast"/>
          <w:jc w:val="center"/>
        </w:trPr>
        <w:tc>
          <w:tcPr>
            <w:tcW w:w="958" w:type="dxa"/>
            <w:vAlign w:val="center"/>
          </w:tcPr>
          <w:p w14:paraId="3855D9C0">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3</w:t>
            </w:r>
          </w:p>
        </w:tc>
        <w:tc>
          <w:tcPr>
            <w:tcW w:w="2498" w:type="dxa"/>
            <w:vAlign w:val="center"/>
          </w:tcPr>
          <w:p w14:paraId="39766C7E">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遇有下列情况时，应采取有效的安全措施：</w:t>
            </w:r>
          </w:p>
          <w:p w14:paraId="7189764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——岩层内倾于采场，且设计边坡角大于岩层倾角；</w:t>
            </w:r>
          </w:p>
          <w:p w14:paraId="5FEB3C80">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——有多组节理、裂隙空间组合结构面内倾于采场；</w:t>
            </w:r>
          </w:p>
          <w:p w14:paraId="400F6319">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——有较大软弱结构面切割边坡；</w:t>
            </w:r>
          </w:p>
          <w:p w14:paraId="160BC204">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——构成不稳定的潜在滑坡体的边坡。</w:t>
            </w:r>
          </w:p>
        </w:tc>
        <w:tc>
          <w:tcPr>
            <w:tcW w:w="1537" w:type="dxa"/>
            <w:vAlign w:val="center"/>
          </w:tcPr>
          <w:p w14:paraId="72A7097C">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GB16423-2020</w:t>
            </w:r>
          </w:p>
          <w:p w14:paraId="3143C7FD">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5.2.4.3</w:t>
            </w:r>
          </w:p>
        </w:tc>
        <w:tc>
          <w:tcPr>
            <w:tcW w:w="1267" w:type="dxa"/>
            <w:vAlign w:val="center"/>
          </w:tcPr>
          <w:p w14:paraId="13440EA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对照设计查现场</w:t>
            </w:r>
          </w:p>
        </w:tc>
        <w:tc>
          <w:tcPr>
            <w:tcW w:w="924" w:type="dxa"/>
            <w:vAlign w:val="center"/>
          </w:tcPr>
          <w:p w14:paraId="6CE12EC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符合规</w:t>
            </w:r>
          </w:p>
          <w:p w14:paraId="3468114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程要求</w:t>
            </w:r>
          </w:p>
        </w:tc>
        <w:tc>
          <w:tcPr>
            <w:tcW w:w="750" w:type="dxa"/>
            <w:vAlign w:val="center"/>
          </w:tcPr>
          <w:p w14:paraId="252EDB9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4</w:t>
            </w:r>
          </w:p>
        </w:tc>
        <w:tc>
          <w:tcPr>
            <w:tcW w:w="853" w:type="dxa"/>
            <w:vAlign w:val="center"/>
          </w:tcPr>
          <w:p w14:paraId="154FF28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1项不符合扣1分</w:t>
            </w:r>
          </w:p>
        </w:tc>
        <w:tc>
          <w:tcPr>
            <w:tcW w:w="501" w:type="dxa"/>
            <w:vAlign w:val="center"/>
          </w:tcPr>
          <w:p w14:paraId="57CC3B5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4</w:t>
            </w:r>
          </w:p>
        </w:tc>
      </w:tr>
      <w:tr w14:paraId="777DE7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58" w:type="dxa"/>
            <w:vAlign w:val="center"/>
          </w:tcPr>
          <w:p w14:paraId="696A905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4</w:t>
            </w:r>
          </w:p>
        </w:tc>
        <w:tc>
          <w:tcPr>
            <w:tcW w:w="2498" w:type="dxa"/>
            <w:vAlign w:val="center"/>
          </w:tcPr>
          <w:p w14:paraId="3F06F54B">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边坡浮石清理完毕之前不应在边坡底部作业；人员和设备不应在边坡底部停留。</w:t>
            </w:r>
          </w:p>
        </w:tc>
        <w:tc>
          <w:tcPr>
            <w:tcW w:w="1537" w:type="dxa"/>
            <w:vAlign w:val="center"/>
          </w:tcPr>
          <w:p w14:paraId="3C0397F1">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GB16423-2020</w:t>
            </w:r>
          </w:p>
          <w:p w14:paraId="53CA4A07">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5.2.4.4</w:t>
            </w:r>
          </w:p>
        </w:tc>
        <w:tc>
          <w:tcPr>
            <w:tcW w:w="1267" w:type="dxa"/>
            <w:vAlign w:val="center"/>
          </w:tcPr>
          <w:p w14:paraId="0BA79394">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现场检查</w:t>
            </w:r>
          </w:p>
        </w:tc>
        <w:tc>
          <w:tcPr>
            <w:tcW w:w="924" w:type="dxa"/>
            <w:vAlign w:val="center"/>
          </w:tcPr>
          <w:p w14:paraId="5BDB7570">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符合规</w:t>
            </w:r>
          </w:p>
          <w:p w14:paraId="1E5E00C6">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程要求</w:t>
            </w:r>
          </w:p>
        </w:tc>
        <w:tc>
          <w:tcPr>
            <w:tcW w:w="750" w:type="dxa"/>
            <w:vAlign w:val="center"/>
          </w:tcPr>
          <w:p w14:paraId="7B739A8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5</w:t>
            </w:r>
          </w:p>
        </w:tc>
        <w:tc>
          <w:tcPr>
            <w:tcW w:w="853" w:type="dxa"/>
            <w:vAlign w:val="center"/>
          </w:tcPr>
          <w:p w14:paraId="6E0FCE5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不符合不得分</w:t>
            </w:r>
          </w:p>
        </w:tc>
        <w:tc>
          <w:tcPr>
            <w:tcW w:w="501" w:type="dxa"/>
            <w:vAlign w:val="center"/>
          </w:tcPr>
          <w:p w14:paraId="4CFECA6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5</w:t>
            </w:r>
          </w:p>
        </w:tc>
      </w:tr>
      <w:tr w14:paraId="12F1B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58" w:type="dxa"/>
            <w:vAlign w:val="center"/>
          </w:tcPr>
          <w:p w14:paraId="6FCB2879">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5</w:t>
            </w:r>
          </w:p>
        </w:tc>
        <w:tc>
          <w:tcPr>
            <w:tcW w:w="2498" w:type="dxa"/>
            <w:vAlign w:val="center"/>
          </w:tcPr>
          <w:p w14:paraId="36F6FF85">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矿山应建立边坡安全管理制度和检查制度。每5年至少进行1次边坡稳定性分析。</w:t>
            </w:r>
          </w:p>
        </w:tc>
        <w:tc>
          <w:tcPr>
            <w:tcW w:w="1537" w:type="dxa"/>
            <w:vAlign w:val="center"/>
          </w:tcPr>
          <w:p w14:paraId="64E04D4C">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GB16423-2020</w:t>
            </w:r>
          </w:p>
          <w:p w14:paraId="79672095">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5.2.4.5</w:t>
            </w:r>
          </w:p>
        </w:tc>
        <w:tc>
          <w:tcPr>
            <w:tcW w:w="1267" w:type="dxa"/>
            <w:vAlign w:val="center"/>
          </w:tcPr>
          <w:p w14:paraId="261CEFE1">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查看有关</w:t>
            </w:r>
          </w:p>
          <w:p w14:paraId="4CF0E3A3">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制度及稳</w:t>
            </w:r>
          </w:p>
          <w:p w14:paraId="0263F51D">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定性报告</w:t>
            </w:r>
          </w:p>
        </w:tc>
        <w:tc>
          <w:tcPr>
            <w:tcW w:w="924" w:type="dxa"/>
            <w:vAlign w:val="center"/>
          </w:tcPr>
          <w:p w14:paraId="3D778E68">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符合规</w:t>
            </w:r>
          </w:p>
          <w:p w14:paraId="7A33169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程要求</w:t>
            </w:r>
          </w:p>
        </w:tc>
        <w:tc>
          <w:tcPr>
            <w:tcW w:w="750" w:type="dxa"/>
            <w:vAlign w:val="center"/>
          </w:tcPr>
          <w:p w14:paraId="753D5A1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5</w:t>
            </w:r>
          </w:p>
        </w:tc>
        <w:tc>
          <w:tcPr>
            <w:tcW w:w="853" w:type="dxa"/>
            <w:vAlign w:val="center"/>
          </w:tcPr>
          <w:p w14:paraId="78646964">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不符合不得分</w:t>
            </w:r>
          </w:p>
        </w:tc>
        <w:tc>
          <w:tcPr>
            <w:tcW w:w="501" w:type="dxa"/>
            <w:vAlign w:val="center"/>
          </w:tcPr>
          <w:p w14:paraId="62CA67D0">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5</w:t>
            </w:r>
          </w:p>
        </w:tc>
      </w:tr>
      <w:tr w14:paraId="0D47A5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958" w:type="dxa"/>
            <w:vAlign w:val="center"/>
          </w:tcPr>
          <w:p w14:paraId="31B66A26">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6</w:t>
            </w:r>
          </w:p>
        </w:tc>
        <w:tc>
          <w:tcPr>
            <w:tcW w:w="2498" w:type="dxa"/>
            <w:vAlign w:val="center"/>
          </w:tcPr>
          <w:p w14:paraId="797DBF7A">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露天采场工作过坡应每季度检查1次，运输或行人的非工作边坡每半年检查1次。</w:t>
            </w:r>
          </w:p>
        </w:tc>
        <w:tc>
          <w:tcPr>
            <w:tcW w:w="1537" w:type="dxa"/>
            <w:vAlign w:val="center"/>
          </w:tcPr>
          <w:p w14:paraId="1D8F552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GB16423-2020</w:t>
            </w:r>
          </w:p>
          <w:p w14:paraId="5FA4FA46">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5.2.4.6</w:t>
            </w:r>
          </w:p>
        </w:tc>
        <w:tc>
          <w:tcPr>
            <w:tcW w:w="1267" w:type="dxa"/>
            <w:vAlign w:val="center"/>
          </w:tcPr>
          <w:p w14:paraId="66302B05">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查看有关记录</w:t>
            </w:r>
          </w:p>
        </w:tc>
        <w:tc>
          <w:tcPr>
            <w:tcW w:w="924" w:type="dxa"/>
            <w:vAlign w:val="center"/>
          </w:tcPr>
          <w:p w14:paraId="64753D7F">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未见检查记录</w:t>
            </w:r>
          </w:p>
        </w:tc>
        <w:tc>
          <w:tcPr>
            <w:tcW w:w="750" w:type="dxa"/>
            <w:vAlign w:val="center"/>
          </w:tcPr>
          <w:p w14:paraId="6C51CB2C">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5</w:t>
            </w:r>
          </w:p>
        </w:tc>
        <w:tc>
          <w:tcPr>
            <w:tcW w:w="853" w:type="dxa"/>
            <w:vAlign w:val="center"/>
          </w:tcPr>
          <w:p w14:paraId="7AF7215B">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不符合不得分</w:t>
            </w:r>
          </w:p>
        </w:tc>
        <w:tc>
          <w:tcPr>
            <w:tcW w:w="501" w:type="dxa"/>
            <w:vAlign w:val="center"/>
          </w:tcPr>
          <w:p w14:paraId="6B0E9208">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0</w:t>
            </w:r>
          </w:p>
        </w:tc>
      </w:tr>
      <w:tr w14:paraId="5D8F71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jc w:val="center"/>
        </w:trPr>
        <w:tc>
          <w:tcPr>
            <w:tcW w:w="958" w:type="dxa"/>
            <w:vAlign w:val="center"/>
          </w:tcPr>
          <w:p w14:paraId="5A7AB5A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7</w:t>
            </w:r>
          </w:p>
        </w:tc>
        <w:tc>
          <w:tcPr>
            <w:tcW w:w="2498" w:type="dxa"/>
            <w:vAlign w:val="center"/>
          </w:tcPr>
          <w:p w14:paraId="3E820B5D">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所有正常生产建设的现状高度150米及以上的金属非金属露天矿山采场边坡应进行边坡监测系统</w:t>
            </w:r>
            <w:r>
              <w:rPr>
                <w:rFonts w:hint="eastAsia"/>
                <w:color w:val="auto"/>
                <w:sz w:val="21"/>
                <w:szCs w:val="21"/>
                <w:vertAlign w:val="baseline"/>
                <w:lang w:val="en-US" w:eastAsia="zh-CN"/>
              </w:rPr>
              <w:t>建设</w:t>
            </w:r>
            <w:r>
              <w:rPr>
                <w:rFonts w:hint="default"/>
                <w:color w:val="auto"/>
                <w:sz w:val="21"/>
                <w:szCs w:val="21"/>
                <w:vertAlign w:val="baseline"/>
                <w:lang w:val="en-US" w:eastAsia="zh-CN"/>
              </w:rPr>
              <w:t>。</w:t>
            </w:r>
          </w:p>
        </w:tc>
        <w:tc>
          <w:tcPr>
            <w:tcW w:w="1537" w:type="dxa"/>
            <w:vAlign w:val="center"/>
          </w:tcPr>
          <w:p w14:paraId="40FF174C">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矿安〔2023〕119号</w:t>
            </w:r>
          </w:p>
        </w:tc>
        <w:tc>
          <w:tcPr>
            <w:tcW w:w="1267" w:type="dxa"/>
            <w:vAlign w:val="center"/>
          </w:tcPr>
          <w:p w14:paraId="7CB3B084">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已按设计建立了边坡监测系统</w:t>
            </w:r>
          </w:p>
        </w:tc>
        <w:tc>
          <w:tcPr>
            <w:tcW w:w="924" w:type="dxa"/>
            <w:vAlign w:val="center"/>
          </w:tcPr>
          <w:p w14:paraId="2C59E050">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符合规</w:t>
            </w:r>
          </w:p>
          <w:p w14:paraId="636DEA8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程要求</w:t>
            </w:r>
          </w:p>
        </w:tc>
        <w:tc>
          <w:tcPr>
            <w:tcW w:w="750" w:type="dxa"/>
            <w:vAlign w:val="center"/>
          </w:tcPr>
          <w:p w14:paraId="54B8935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5</w:t>
            </w:r>
          </w:p>
        </w:tc>
        <w:tc>
          <w:tcPr>
            <w:tcW w:w="853" w:type="dxa"/>
            <w:vAlign w:val="center"/>
          </w:tcPr>
          <w:p w14:paraId="56790B8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不符合不得分</w:t>
            </w:r>
          </w:p>
        </w:tc>
        <w:tc>
          <w:tcPr>
            <w:tcW w:w="501" w:type="dxa"/>
            <w:vAlign w:val="center"/>
          </w:tcPr>
          <w:p w14:paraId="64E53A9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5</w:t>
            </w:r>
          </w:p>
        </w:tc>
      </w:tr>
      <w:tr w14:paraId="37D27A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958" w:type="dxa"/>
            <w:vAlign w:val="center"/>
          </w:tcPr>
          <w:p w14:paraId="3D7BDDFD">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8</w:t>
            </w:r>
          </w:p>
        </w:tc>
        <w:tc>
          <w:tcPr>
            <w:tcW w:w="2498" w:type="dxa"/>
            <w:vAlign w:val="center"/>
          </w:tcPr>
          <w:p w14:paraId="75BF7B65">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现状高度100m及以上的边坡，应当每年进行一次边坡稳定性分析。</w:t>
            </w:r>
          </w:p>
        </w:tc>
        <w:tc>
          <w:tcPr>
            <w:tcW w:w="1537" w:type="dxa"/>
            <w:vAlign w:val="center"/>
          </w:tcPr>
          <w:p w14:paraId="308F609F">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矿安</w:t>
            </w:r>
            <w:r>
              <w:rPr>
                <w:rFonts w:hint="default" w:ascii="Times New Roman" w:hAnsi="Times New Roman" w:cs="Times New Roman"/>
                <w:color w:val="auto"/>
                <w:sz w:val="21"/>
                <w:szCs w:val="21"/>
                <w:vertAlign w:val="baseline"/>
                <w:lang w:val="en-US" w:eastAsia="zh-CN"/>
              </w:rPr>
              <w:t>[</w:t>
            </w:r>
            <w:r>
              <w:rPr>
                <w:rFonts w:hint="eastAsia"/>
                <w:color w:val="auto"/>
                <w:sz w:val="21"/>
                <w:szCs w:val="21"/>
                <w:vertAlign w:val="baseline"/>
                <w:lang w:val="en-US" w:eastAsia="zh-CN"/>
              </w:rPr>
              <w:t>2022</w:t>
            </w:r>
            <w:r>
              <w:rPr>
                <w:rFonts w:hint="default" w:ascii="Times New Roman" w:hAnsi="Times New Roman" w:cs="Times New Roman"/>
                <w:color w:val="auto"/>
                <w:sz w:val="21"/>
                <w:szCs w:val="21"/>
                <w:vertAlign w:val="baseline"/>
                <w:lang w:val="en-US" w:eastAsia="zh-CN"/>
              </w:rPr>
              <w:t>]</w:t>
            </w:r>
          </w:p>
          <w:p w14:paraId="22331430">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4号</w:t>
            </w:r>
          </w:p>
        </w:tc>
        <w:tc>
          <w:tcPr>
            <w:tcW w:w="1267" w:type="dxa"/>
            <w:vAlign w:val="center"/>
          </w:tcPr>
          <w:p w14:paraId="1C8AF8CF">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查看稳</w:t>
            </w:r>
          </w:p>
          <w:p w14:paraId="36B6F7C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定性报告</w:t>
            </w:r>
          </w:p>
        </w:tc>
        <w:tc>
          <w:tcPr>
            <w:tcW w:w="924" w:type="dxa"/>
            <w:vAlign w:val="center"/>
          </w:tcPr>
          <w:p w14:paraId="61A8961A">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符合规</w:t>
            </w:r>
          </w:p>
          <w:p w14:paraId="2C69542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程要求</w:t>
            </w:r>
          </w:p>
        </w:tc>
        <w:tc>
          <w:tcPr>
            <w:tcW w:w="750" w:type="dxa"/>
            <w:vAlign w:val="center"/>
          </w:tcPr>
          <w:p w14:paraId="3F9DAC1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5</w:t>
            </w:r>
          </w:p>
        </w:tc>
        <w:tc>
          <w:tcPr>
            <w:tcW w:w="853" w:type="dxa"/>
            <w:vAlign w:val="center"/>
          </w:tcPr>
          <w:p w14:paraId="1978148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不符合不得分</w:t>
            </w:r>
          </w:p>
        </w:tc>
        <w:tc>
          <w:tcPr>
            <w:tcW w:w="501" w:type="dxa"/>
            <w:vAlign w:val="center"/>
          </w:tcPr>
          <w:p w14:paraId="6756FE0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5</w:t>
            </w:r>
          </w:p>
        </w:tc>
      </w:tr>
      <w:tr w14:paraId="5F42E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 w:hRule="atLeast"/>
          <w:jc w:val="center"/>
        </w:trPr>
        <w:tc>
          <w:tcPr>
            <w:tcW w:w="958" w:type="dxa"/>
            <w:vAlign w:val="center"/>
          </w:tcPr>
          <w:p w14:paraId="1D0F44DC">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9</w:t>
            </w:r>
          </w:p>
        </w:tc>
        <w:tc>
          <w:tcPr>
            <w:tcW w:w="2498" w:type="dxa"/>
            <w:vAlign w:val="center"/>
          </w:tcPr>
          <w:p w14:paraId="0F01D51D">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矿山应制定针对边坡滑塌事故的应急预案。</w:t>
            </w:r>
          </w:p>
        </w:tc>
        <w:tc>
          <w:tcPr>
            <w:tcW w:w="1537" w:type="dxa"/>
            <w:vAlign w:val="center"/>
          </w:tcPr>
          <w:p w14:paraId="60C07174">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GB16423-2020</w:t>
            </w:r>
          </w:p>
          <w:p w14:paraId="47A5718E">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5.2.4.7</w:t>
            </w:r>
          </w:p>
        </w:tc>
        <w:tc>
          <w:tcPr>
            <w:tcW w:w="1267" w:type="dxa"/>
            <w:vAlign w:val="center"/>
          </w:tcPr>
          <w:p w14:paraId="3404CEE8">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查看有关应急预案</w:t>
            </w:r>
          </w:p>
        </w:tc>
        <w:tc>
          <w:tcPr>
            <w:tcW w:w="924" w:type="dxa"/>
            <w:vAlign w:val="center"/>
          </w:tcPr>
          <w:p w14:paraId="06C13F8F">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符合规</w:t>
            </w:r>
          </w:p>
          <w:p w14:paraId="17FE0D7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程要求</w:t>
            </w:r>
          </w:p>
        </w:tc>
        <w:tc>
          <w:tcPr>
            <w:tcW w:w="750" w:type="dxa"/>
            <w:vAlign w:val="center"/>
          </w:tcPr>
          <w:p w14:paraId="48A490C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5</w:t>
            </w:r>
          </w:p>
        </w:tc>
        <w:tc>
          <w:tcPr>
            <w:tcW w:w="853" w:type="dxa"/>
            <w:vAlign w:val="center"/>
          </w:tcPr>
          <w:p w14:paraId="3AA7C4B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不符合不得分</w:t>
            </w:r>
          </w:p>
        </w:tc>
        <w:tc>
          <w:tcPr>
            <w:tcW w:w="501" w:type="dxa"/>
            <w:vAlign w:val="center"/>
          </w:tcPr>
          <w:p w14:paraId="16FBECE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5</w:t>
            </w:r>
          </w:p>
        </w:tc>
      </w:tr>
      <w:tr w14:paraId="3E2D0E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958" w:type="dxa"/>
            <w:shd w:val="clear" w:color="auto" w:fill="auto"/>
            <w:vAlign w:val="center"/>
          </w:tcPr>
          <w:p w14:paraId="08F4AEF4">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小计</w:t>
            </w:r>
          </w:p>
        </w:tc>
        <w:tc>
          <w:tcPr>
            <w:tcW w:w="2498" w:type="dxa"/>
            <w:shd w:val="clear" w:color="auto" w:fill="auto"/>
            <w:vAlign w:val="center"/>
          </w:tcPr>
          <w:p w14:paraId="3E429614">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p>
        </w:tc>
        <w:tc>
          <w:tcPr>
            <w:tcW w:w="1537" w:type="dxa"/>
            <w:shd w:val="clear" w:color="auto" w:fill="auto"/>
            <w:vAlign w:val="center"/>
          </w:tcPr>
          <w:p w14:paraId="3489469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p>
        </w:tc>
        <w:tc>
          <w:tcPr>
            <w:tcW w:w="1267" w:type="dxa"/>
            <w:shd w:val="clear" w:color="auto" w:fill="auto"/>
            <w:vAlign w:val="center"/>
          </w:tcPr>
          <w:p w14:paraId="51B5A9B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p>
        </w:tc>
        <w:tc>
          <w:tcPr>
            <w:tcW w:w="924" w:type="dxa"/>
            <w:shd w:val="clear" w:color="auto" w:fill="auto"/>
            <w:vAlign w:val="center"/>
          </w:tcPr>
          <w:p w14:paraId="4484A2D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p>
        </w:tc>
        <w:tc>
          <w:tcPr>
            <w:tcW w:w="750" w:type="dxa"/>
            <w:shd w:val="clear" w:color="auto" w:fill="auto"/>
            <w:vAlign w:val="center"/>
          </w:tcPr>
          <w:p w14:paraId="400C1A1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40</w:t>
            </w:r>
          </w:p>
        </w:tc>
        <w:tc>
          <w:tcPr>
            <w:tcW w:w="853" w:type="dxa"/>
            <w:shd w:val="clear" w:color="auto" w:fill="auto"/>
            <w:vAlign w:val="center"/>
          </w:tcPr>
          <w:p w14:paraId="05B633D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p>
        </w:tc>
        <w:tc>
          <w:tcPr>
            <w:tcW w:w="501" w:type="dxa"/>
            <w:shd w:val="clear" w:color="auto" w:fill="auto"/>
            <w:vAlign w:val="center"/>
          </w:tcPr>
          <w:p w14:paraId="266C350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35</w:t>
            </w:r>
          </w:p>
        </w:tc>
      </w:tr>
    </w:tbl>
    <w:p w14:paraId="27F43392">
      <w:pPr>
        <w:pStyle w:val="4"/>
        <w:bidi w:val="0"/>
        <w:rPr>
          <w:rFonts w:hint="default"/>
          <w:color w:val="auto"/>
          <w:lang w:val="en-US" w:eastAsia="zh-CN"/>
        </w:rPr>
      </w:pPr>
      <w:bookmarkStart w:id="294" w:name="_Toc28548"/>
      <w:bookmarkStart w:id="295" w:name="_Toc12640"/>
      <w:bookmarkStart w:id="296" w:name="_Toc17372"/>
      <w:r>
        <w:rPr>
          <w:rFonts w:hint="default"/>
          <w:color w:val="auto"/>
          <w:lang w:val="en-US" w:eastAsia="zh-CN"/>
        </w:rPr>
        <w:t>5.</w:t>
      </w:r>
      <w:r>
        <w:rPr>
          <w:rFonts w:hint="eastAsia"/>
          <w:color w:val="auto"/>
          <w:lang w:val="en-US" w:eastAsia="zh-CN"/>
        </w:rPr>
        <w:t>3</w:t>
      </w:r>
      <w:r>
        <w:rPr>
          <w:rFonts w:hint="default"/>
          <w:color w:val="auto"/>
          <w:lang w:val="en-US" w:eastAsia="zh-CN"/>
        </w:rPr>
        <w:t>.2 评价小结</w:t>
      </w:r>
      <w:bookmarkEnd w:id="294"/>
      <w:bookmarkEnd w:id="295"/>
      <w:bookmarkEnd w:id="296"/>
    </w:p>
    <w:p w14:paraId="135BFDE4">
      <w:pPr>
        <w:rPr>
          <w:rFonts w:hint="default"/>
          <w:color w:val="auto"/>
          <w:lang w:val="en-US" w:eastAsia="zh-CN"/>
        </w:rPr>
      </w:pPr>
      <w:r>
        <w:rPr>
          <w:rFonts w:hint="default"/>
          <w:color w:val="auto"/>
          <w:lang w:val="en-US" w:eastAsia="zh-CN"/>
        </w:rPr>
        <w:t>江西省坤育矿业有限公司德安县聂桥镇刘家山矿区建筑用辉绿岩矿露天开采</w:t>
      </w:r>
      <w:r>
        <w:rPr>
          <w:rFonts w:hint="eastAsia"/>
          <w:color w:val="auto"/>
          <w:lang w:val="en-US" w:eastAsia="zh-CN"/>
        </w:rPr>
        <w:t>工程</w:t>
      </w:r>
      <w:r>
        <w:rPr>
          <w:rFonts w:hint="default"/>
          <w:color w:val="auto"/>
          <w:lang w:val="en-US" w:eastAsia="zh-CN"/>
        </w:rPr>
        <w:t>边坡管理单元</w:t>
      </w:r>
      <w:r>
        <w:rPr>
          <w:rFonts w:hint="eastAsia"/>
          <w:color w:val="auto"/>
          <w:lang w:val="en-US" w:eastAsia="zh-CN"/>
        </w:rPr>
        <w:t>安全</w:t>
      </w:r>
      <w:r>
        <w:rPr>
          <w:rFonts w:hint="default"/>
          <w:color w:val="auto"/>
          <w:lang w:val="en-US" w:eastAsia="zh-CN"/>
        </w:rPr>
        <w:t>检查表中无否决项，一般项总分40分，</w:t>
      </w:r>
      <w:r>
        <w:rPr>
          <w:rFonts w:hint="eastAsia"/>
          <w:color w:val="auto"/>
          <w:lang w:val="en-US" w:eastAsia="zh-CN"/>
        </w:rPr>
        <w:t>得分35</w:t>
      </w:r>
      <w:r>
        <w:rPr>
          <w:rFonts w:hint="default"/>
          <w:color w:val="auto"/>
          <w:lang w:val="en-US" w:eastAsia="zh-CN"/>
        </w:rPr>
        <w:t>分，得分率为</w:t>
      </w:r>
      <w:r>
        <w:rPr>
          <w:rFonts w:hint="eastAsia"/>
          <w:color w:val="auto"/>
          <w:lang w:val="en-US" w:eastAsia="zh-CN"/>
        </w:rPr>
        <w:t>87.50</w:t>
      </w:r>
      <w:r>
        <w:rPr>
          <w:rFonts w:hint="default"/>
          <w:color w:val="auto"/>
          <w:lang w:val="en-US" w:eastAsia="zh-CN"/>
        </w:rPr>
        <w:t>%，说明江西省坤育矿业有限公司德安县聂桥镇刘家山矿区建筑用辉绿岩矿露天开采</w:t>
      </w:r>
      <w:r>
        <w:rPr>
          <w:rFonts w:hint="eastAsia"/>
          <w:color w:val="auto"/>
          <w:lang w:val="en-US" w:eastAsia="zh-CN"/>
        </w:rPr>
        <w:t>工程</w:t>
      </w:r>
      <w:r>
        <w:rPr>
          <w:rFonts w:hint="default"/>
          <w:color w:val="auto"/>
          <w:lang w:val="en-US" w:eastAsia="zh-CN"/>
        </w:rPr>
        <w:t>采场单元具备安全生产条件。</w:t>
      </w:r>
    </w:p>
    <w:p w14:paraId="467111DF">
      <w:pPr>
        <w:rPr>
          <w:rFonts w:hint="default"/>
          <w:color w:val="auto"/>
          <w:lang w:val="en-US" w:eastAsia="zh-CN"/>
        </w:rPr>
      </w:pPr>
      <w:r>
        <w:rPr>
          <w:rFonts w:hint="eastAsia"/>
          <w:color w:val="auto"/>
          <w:lang w:val="en-US" w:eastAsia="zh-CN"/>
        </w:rPr>
        <w:t>存在的主要问题：1）未见边坡检查记录。</w:t>
      </w:r>
    </w:p>
    <w:p w14:paraId="5A4EC953">
      <w:pPr>
        <w:pStyle w:val="3"/>
        <w:bidi w:val="0"/>
        <w:rPr>
          <w:rFonts w:hint="eastAsia"/>
          <w:color w:val="auto"/>
          <w:lang w:val="en-US" w:eastAsia="zh-CN"/>
        </w:rPr>
      </w:pPr>
      <w:bookmarkStart w:id="297" w:name="_Toc23527"/>
      <w:bookmarkStart w:id="298" w:name="_Toc2849"/>
      <w:bookmarkStart w:id="299" w:name="_Toc23888"/>
      <w:r>
        <w:rPr>
          <w:rFonts w:hint="eastAsia"/>
          <w:color w:val="auto"/>
          <w:lang w:val="en-US" w:eastAsia="zh-CN"/>
        </w:rPr>
        <w:t>5.4 供配电设施单元</w:t>
      </w:r>
      <w:bookmarkEnd w:id="297"/>
      <w:bookmarkEnd w:id="298"/>
      <w:bookmarkEnd w:id="299"/>
    </w:p>
    <w:p w14:paraId="32FC63CF">
      <w:pPr>
        <w:pStyle w:val="4"/>
        <w:bidi w:val="0"/>
        <w:rPr>
          <w:rFonts w:hint="default"/>
          <w:color w:val="auto"/>
          <w:lang w:val="en-US" w:eastAsia="zh-CN"/>
        </w:rPr>
      </w:pPr>
      <w:bookmarkStart w:id="300" w:name="_Toc31491"/>
      <w:bookmarkStart w:id="301" w:name="_Toc9211"/>
      <w:bookmarkStart w:id="302" w:name="_Toc8052"/>
      <w:r>
        <w:rPr>
          <w:rFonts w:hint="eastAsia"/>
          <w:color w:val="auto"/>
          <w:lang w:val="en-US" w:eastAsia="zh-CN"/>
        </w:rPr>
        <w:t>5.4.1 供配电设施安全检查表</w:t>
      </w:r>
      <w:bookmarkEnd w:id="300"/>
      <w:bookmarkEnd w:id="301"/>
      <w:bookmarkEnd w:id="302"/>
    </w:p>
    <w:p w14:paraId="68E9E8B7">
      <w:pPr>
        <w:rPr>
          <w:rFonts w:hint="eastAsia"/>
          <w:color w:val="auto"/>
          <w:lang w:val="en-US" w:eastAsia="zh-CN"/>
        </w:rPr>
      </w:pPr>
      <w:r>
        <w:rPr>
          <w:rFonts w:hint="default"/>
          <w:color w:val="auto"/>
          <w:lang w:val="en-US" w:eastAsia="zh-CN"/>
        </w:rPr>
        <w:t>供配电设施</w:t>
      </w:r>
      <w:r>
        <w:rPr>
          <w:rFonts w:hint="eastAsia"/>
          <w:color w:val="auto"/>
          <w:lang w:val="en-US" w:eastAsia="zh-CN"/>
        </w:rPr>
        <w:t>安全检查表见表5.4-1。</w:t>
      </w:r>
    </w:p>
    <w:p w14:paraId="613A75A7">
      <w:pPr>
        <w:ind w:left="0" w:leftChars="0" w:firstLine="0" w:firstLineChars="0"/>
        <w:jc w:val="center"/>
        <w:rPr>
          <w:rFonts w:hint="eastAsia"/>
          <w:color w:val="auto"/>
          <w:lang w:val="en-US" w:eastAsia="zh-CN"/>
        </w:rPr>
      </w:pPr>
      <w:r>
        <w:rPr>
          <w:rFonts w:hint="eastAsia"/>
          <w:color w:val="auto"/>
          <w:lang w:val="en-US" w:eastAsia="zh-CN"/>
        </w:rPr>
        <w:t>表5.4-1 供配电设施安全检查表</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8"/>
        <w:gridCol w:w="3507"/>
        <w:gridCol w:w="1080"/>
        <w:gridCol w:w="840"/>
        <w:gridCol w:w="734"/>
        <w:gridCol w:w="727"/>
        <w:gridCol w:w="809"/>
        <w:gridCol w:w="633"/>
      </w:tblGrid>
      <w:tr w14:paraId="21406F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8" w:type="dxa"/>
            <w:vAlign w:val="center"/>
          </w:tcPr>
          <w:p w14:paraId="442EE21E">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b/>
                <w:bCs/>
                <w:color w:val="auto"/>
                <w:sz w:val="21"/>
                <w:szCs w:val="21"/>
                <w:vertAlign w:val="baseline"/>
                <w:lang w:val="en-US" w:eastAsia="zh-CN"/>
              </w:rPr>
            </w:pPr>
            <w:r>
              <w:rPr>
                <w:rFonts w:hint="eastAsia"/>
                <w:b/>
                <w:bCs/>
                <w:color w:val="auto"/>
                <w:sz w:val="21"/>
                <w:szCs w:val="21"/>
                <w:vertAlign w:val="baseline"/>
                <w:lang w:val="en-US" w:eastAsia="zh-CN"/>
              </w:rPr>
              <w:t>序号</w:t>
            </w:r>
          </w:p>
        </w:tc>
        <w:tc>
          <w:tcPr>
            <w:tcW w:w="3507" w:type="dxa"/>
            <w:vAlign w:val="center"/>
          </w:tcPr>
          <w:p w14:paraId="72B2D21D">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b/>
                <w:bCs/>
                <w:color w:val="auto"/>
                <w:sz w:val="21"/>
                <w:szCs w:val="21"/>
                <w:vertAlign w:val="baseline"/>
                <w:lang w:val="en-US" w:eastAsia="zh-CN"/>
              </w:rPr>
            </w:pPr>
            <w:r>
              <w:rPr>
                <w:rFonts w:hint="eastAsia"/>
                <w:b/>
                <w:bCs/>
                <w:color w:val="auto"/>
                <w:sz w:val="21"/>
                <w:szCs w:val="21"/>
                <w:vertAlign w:val="baseline"/>
                <w:lang w:val="en-US" w:eastAsia="zh-CN"/>
              </w:rPr>
              <w:t>检查内容</w:t>
            </w:r>
          </w:p>
        </w:tc>
        <w:tc>
          <w:tcPr>
            <w:tcW w:w="1080" w:type="dxa"/>
            <w:vAlign w:val="center"/>
          </w:tcPr>
          <w:p w14:paraId="309FD547">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b/>
                <w:bCs/>
                <w:color w:val="auto"/>
                <w:sz w:val="21"/>
                <w:szCs w:val="21"/>
                <w:vertAlign w:val="baseline"/>
                <w:lang w:val="en-US" w:eastAsia="zh-CN"/>
              </w:rPr>
            </w:pPr>
            <w:r>
              <w:rPr>
                <w:rFonts w:hint="default"/>
                <w:b/>
                <w:bCs/>
                <w:color w:val="auto"/>
                <w:sz w:val="21"/>
                <w:szCs w:val="21"/>
                <w:vertAlign w:val="baseline"/>
                <w:lang w:val="en-US" w:eastAsia="zh-CN"/>
              </w:rPr>
              <w:t>检查依据</w:t>
            </w:r>
          </w:p>
        </w:tc>
        <w:tc>
          <w:tcPr>
            <w:tcW w:w="840" w:type="dxa"/>
            <w:vAlign w:val="center"/>
          </w:tcPr>
          <w:p w14:paraId="4D9EE38C">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b/>
                <w:bCs/>
                <w:color w:val="auto"/>
                <w:sz w:val="21"/>
                <w:szCs w:val="21"/>
                <w:vertAlign w:val="baseline"/>
                <w:lang w:val="en-US" w:eastAsia="zh-CN"/>
              </w:rPr>
            </w:pPr>
            <w:r>
              <w:rPr>
                <w:rFonts w:hint="default"/>
                <w:b/>
                <w:bCs/>
                <w:color w:val="auto"/>
                <w:sz w:val="21"/>
                <w:szCs w:val="21"/>
                <w:vertAlign w:val="baseline"/>
                <w:lang w:val="en-US" w:eastAsia="zh-CN"/>
              </w:rPr>
              <w:t>检查方法及地点</w:t>
            </w:r>
          </w:p>
        </w:tc>
        <w:tc>
          <w:tcPr>
            <w:tcW w:w="734" w:type="dxa"/>
            <w:vAlign w:val="center"/>
          </w:tcPr>
          <w:p w14:paraId="661E2A19">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b/>
                <w:bCs/>
                <w:color w:val="auto"/>
                <w:sz w:val="21"/>
                <w:szCs w:val="21"/>
                <w:vertAlign w:val="baseline"/>
                <w:lang w:val="en-US" w:eastAsia="zh-CN"/>
              </w:rPr>
            </w:pPr>
            <w:r>
              <w:rPr>
                <w:rFonts w:hint="default"/>
                <w:b/>
                <w:bCs/>
                <w:color w:val="auto"/>
                <w:sz w:val="21"/>
                <w:szCs w:val="21"/>
                <w:vertAlign w:val="baseline"/>
                <w:lang w:val="en-US" w:eastAsia="zh-CN"/>
              </w:rPr>
              <w:t>检查</w:t>
            </w:r>
          </w:p>
          <w:p w14:paraId="5FB1F99A">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b/>
                <w:bCs/>
                <w:color w:val="auto"/>
                <w:sz w:val="21"/>
                <w:szCs w:val="21"/>
                <w:vertAlign w:val="baseline"/>
                <w:lang w:val="en-US" w:eastAsia="zh-CN"/>
              </w:rPr>
            </w:pPr>
            <w:r>
              <w:rPr>
                <w:rFonts w:hint="default"/>
                <w:b/>
                <w:bCs/>
                <w:color w:val="auto"/>
                <w:sz w:val="21"/>
                <w:szCs w:val="21"/>
                <w:vertAlign w:val="baseline"/>
                <w:lang w:val="en-US" w:eastAsia="zh-CN"/>
              </w:rPr>
              <w:t>记录</w:t>
            </w:r>
          </w:p>
        </w:tc>
        <w:tc>
          <w:tcPr>
            <w:tcW w:w="727" w:type="dxa"/>
            <w:vAlign w:val="center"/>
          </w:tcPr>
          <w:p w14:paraId="094EFE58">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b/>
                <w:bCs/>
                <w:color w:val="auto"/>
                <w:sz w:val="21"/>
                <w:szCs w:val="21"/>
                <w:vertAlign w:val="baseline"/>
                <w:lang w:val="en-US" w:eastAsia="zh-CN"/>
              </w:rPr>
            </w:pPr>
            <w:r>
              <w:rPr>
                <w:rFonts w:hint="default"/>
                <w:b/>
                <w:bCs/>
                <w:color w:val="auto"/>
                <w:sz w:val="21"/>
                <w:szCs w:val="21"/>
                <w:vertAlign w:val="baseline"/>
                <w:lang w:val="en-US" w:eastAsia="zh-CN"/>
              </w:rPr>
              <w:t>标准</w:t>
            </w:r>
          </w:p>
          <w:p w14:paraId="47716473">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b/>
                <w:bCs/>
                <w:color w:val="auto"/>
                <w:sz w:val="21"/>
                <w:szCs w:val="21"/>
                <w:vertAlign w:val="baseline"/>
                <w:lang w:val="en-US" w:eastAsia="zh-CN"/>
              </w:rPr>
            </w:pPr>
            <w:r>
              <w:rPr>
                <w:rFonts w:hint="default"/>
                <w:b/>
                <w:bCs/>
                <w:color w:val="auto"/>
                <w:sz w:val="21"/>
                <w:szCs w:val="21"/>
                <w:vertAlign w:val="baseline"/>
                <w:lang w:val="en-US" w:eastAsia="zh-CN"/>
              </w:rPr>
              <w:t>分值</w:t>
            </w:r>
          </w:p>
        </w:tc>
        <w:tc>
          <w:tcPr>
            <w:tcW w:w="809" w:type="dxa"/>
            <w:vAlign w:val="center"/>
          </w:tcPr>
          <w:p w14:paraId="43E4D736">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b/>
                <w:bCs/>
                <w:color w:val="auto"/>
                <w:sz w:val="21"/>
                <w:szCs w:val="21"/>
                <w:vertAlign w:val="baseline"/>
                <w:lang w:val="en-US" w:eastAsia="zh-CN"/>
              </w:rPr>
            </w:pPr>
            <w:r>
              <w:rPr>
                <w:rFonts w:hint="default"/>
                <w:b/>
                <w:bCs/>
                <w:color w:val="auto"/>
                <w:sz w:val="21"/>
                <w:szCs w:val="21"/>
                <w:vertAlign w:val="baseline"/>
                <w:lang w:val="en-US" w:eastAsia="zh-CN"/>
              </w:rPr>
              <w:t>评分</w:t>
            </w:r>
          </w:p>
          <w:p w14:paraId="7CBC08B6">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b/>
                <w:bCs/>
                <w:color w:val="auto"/>
                <w:sz w:val="21"/>
                <w:szCs w:val="21"/>
                <w:vertAlign w:val="baseline"/>
                <w:lang w:val="en-US" w:eastAsia="zh-CN"/>
              </w:rPr>
            </w:pPr>
            <w:r>
              <w:rPr>
                <w:rFonts w:hint="default"/>
                <w:b/>
                <w:bCs/>
                <w:color w:val="auto"/>
                <w:sz w:val="21"/>
                <w:szCs w:val="21"/>
                <w:vertAlign w:val="baseline"/>
                <w:lang w:val="en-US" w:eastAsia="zh-CN"/>
              </w:rPr>
              <w:t>标准</w:t>
            </w:r>
          </w:p>
        </w:tc>
        <w:tc>
          <w:tcPr>
            <w:tcW w:w="633" w:type="dxa"/>
            <w:vAlign w:val="center"/>
          </w:tcPr>
          <w:p w14:paraId="2175DA2A">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b/>
                <w:bCs/>
                <w:color w:val="auto"/>
                <w:sz w:val="21"/>
                <w:szCs w:val="21"/>
                <w:vertAlign w:val="baseline"/>
                <w:lang w:val="en-US" w:eastAsia="zh-CN"/>
              </w:rPr>
            </w:pPr>
            <w:r>
              <w:rPr>
                <w:rFonts w:hint="eastAsia"/>
                <w:b/>
                <w:bCs/>
                <w:color w:val="auto"/>
                <w:sz w:val="21"/>
                <w:szCs w:val="21"/>
                <w:vertAlign w:val="baseline"/>
                <w:lang w:val="en-US" w:eastAsia="zh-CN"/>
              </w:rPr>
              <w:t>得分</w:t>
            </w:r>
          </w:p>
        </w:tc>
      </w:tr>
      <w:tr w14:paraId="309E3A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8" w:type="dxa"/>
            <w:vMerge w:val="restart"/>
            <w:vAlign w:val="center"/>
          </w:tcPr>
          <w:p w14:paraId="3045053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1. 电源电压及供电系统</w:t>
            </w:r>
          </w:p>
        </w:tc>
        <w:tc>
          <w:tcPr>
            <w:tcW w:w="3507" w:type="dxa"/>
            <w:vAlign w:val="center"/>
          </w:tcPr>
          <w:p w14:paraId="2C8F677A">
            <w:pPr>
              <w:keepNext w:val="0"/>
              <w:keepLines w:val="0"/>
              <w:pageBreakBefore w:val="0"/>
              <w:widowControl w:val="0"/>
              <w:kinsoku/>
              <w:wordWrap/>
              <w:overflowPunct/>
              <w:topLinePunct w:val="0"/>
              <w:autoSpaceDE/>
              <w:autoSpaceDN/>
              <w:bidi w:val="0"/>
              <w:adjustRightInd/>
              <w:snapToGrid/>
              <w:spacing w:line="290" w:lineRule="exact"/>
              <w:ind w:left="0" w:right="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1.1 矿山企业电源的供电电压宜采用10kV~110kV。</w:t>
            </w:r>
          </w:p>
        </w:tc>
        <w:tc>
          <w:tcPr>
            <w:tcW w:w="1080" w:type="dxa"/>
            <w:vAlign w:val="center"/>
          </w:tcPr>
          <w:p w14:paraId="304E9C6B">
            <w:pPr>
              <w:keepNext w:val="0"/>
              <w:keepLines w:val="0"/>
              <w:pageBreakBefore w:val="0"/>
              <w:widowControl w:val="0"/>
              <w:kinsoku/>
              <w:wordWrap/>
              <w:overflowPunct/>
              <w:topLinePunct w:val="0"/>
              <w:autoSpaceDE/>
              <w:autoSpaceDN/>
              <w:bidi w:val="0"/>
              <w:adjustRightInd/>
              <w:snapToGrid/>
              <w:spacing w:line="290" w:lineRule="exact"/>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GB50070-2020</w:t>
            </w:r>
          </w:p>
          <w:p w14:paraId="3C2E3070">
            <w:pPr>
              <w:keepNext w:val="0"/>
              <w:keepLines w:val="0"/>
              <w:pageBreakBefore w:val="0"/>
              <w:widowControl w:val="0"/>
              <w:kinsoku/>
              <w:wordWrap/>
              <w:overflowPunct/>
              <w:topLinePunct w:val="0"/>
              <w:autoSpaceDE/>
              <w:autoSpaceDN/>
              <w:bidi w:val="0"/>
              <w:adjustRightInd/>
              <w:snapToGrid/>
              <w:spacing w:line="290" w:lineRule="exact"/>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3.0.5</w:t>
            </w:r>
          </w:p>
        </w:tc>
        <w:tc>
          <w:tcPr>
            <w:tcW w:w="840" w:type="dxa"/>
            <w:vAlign w:val="center"/>
          </w:tcPr>
          <w:p w14:paraId="1A3DABC4">
            <w:pPr>
              <w:keepNext w:val="0"/>
              <w:keepLines w:val="0"/>
              <w:pageBreakBefore w:val="0"/>
              <w:widowControl w:val="0"/>
              <w:kinsoku/>
              <w:wordWrap/>
              <w:overflowPunct/>
              <w:topLinePunct w:val="0"/>
              <w:autoSpaceDE/>
              <w:autoSpaceDN/>
              <w:bidi w:val="0"/>
              <w:adjustRightInd/>
              <w:snapToGrid/>
              <w:spacing w:line="290" w:lineRule="exact"/>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对照设计</w:t>
            </w:r>
          </w:p>
          <w:p w14:paraId="474F74D3">
            <w:pPr>
              <w:keepNext w:val="0"/>
              <w:keepLines w:val="0"/>
              <w:pageBreakBefore w:val="0"/>
              <w:widowControl w:val="0"/>
              <w:kinsoku/>
              <w:wordWrap/>
              <w:overflowPunct/>
              <w:topLinePunct w:val="0"/>
              <w:autoSpaceDE/>
              <w:autoSpaceDN/>
              <w:bidi w:val="0"/>
              <w:adjustRightInd/>
              <w:snapToGrid/>
              <w:spacing w:line="290" w:lineRule="exact"/>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检查现场</w:t>
            </w:r>
          </w:p>
        </w:tc>
        <w:tc>
          <w:tcPr>
            <w:tcW w:w="734" w:type="dxa"/>
            <w:vAlign w:val="center"/>
          </w:tcPr>
          <w:p w14:paraId="597F5BA9">
            <w:pPr>
              <w:keepNext w:val="0"/>
              <w:keepLines w:val="0"/>
              <w:pageBreakBefore w:val="0"/>
              <w:widowControl w:val="0"/>
              <w:kinsoku/>
              <w:wordWrap/>
              <w:overflowPunct/>
              <w:topLinePunct w:val="0"/>
              <w:autoSpaceDE/>
              <w:autoSpaceDN/>
              <w:bidi w:val="0"/>
              <w:adjustRightInd/>
              <w:snapToGrid/>
              <w:spacing w:line="290" w:lineRule="exact"/>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符合</w:t>
            </w:r>
          </w:p>
        </w:tc>
        <w:tc>
          <w:tcPr>
            <w:tcW w:w="727" w:type="dxa"/>
            <w:vAlign w:val="center"/>
          </w:tcPr>
          <w:p w14:paraId="16957EA4">
            <w:pPr>
              <w:keepNext w:val="0"/>
              <w:keepLines w:val="0"/>
              <w:pageBreakBefore w:val="0"/>
              <w:widowControl w:val="0"/>
              <w:kinsoku/>
              <w:wordWrap/>
              <w:overflowPunct/>
              <w:topLinePunct w:val="0"/>
              <w:autoSpaceDE/>
              <w:autoSpaceDN/>
              <w:bidi w:val="0"/>
              <w:adjustRightInd/>
              <w:snapToGrid/>
              <w:spacing w:line="290" w:lineRule="exact"/>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2</w:t>
            </w:r>
          </w:p>
        </w:tc>
        <w:tc>
          <w:tcPr>
            <w:tcW w:w="809" w:type="dxa"/>
            <w:vAlign w:val="center"/>
          </w:tcPr>
          <w:p w14:paraId="79F8194E">
            <w:pPr>
              <w:keepNext w:val="0"/>
              <w:keepLines w:val="0"/>
              <w:pageBreakBefore w:val="0"/>
              <w:widowControl w:val="0"/>
              <w:kinsoku/>
              <w:wordWrap/>
              <w:overflowPunct/>
              <w:topLinePunct w:val="0"/>
              <w:autoSpaceDE/>
              <w:autoSpaceDN/>
              <w:bidi w:val="0"/>
              <w:adjustRightInd/>
              <w:snapToGrid/>
              <w:spacing w:line="290" w:lineRule="exact"/>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不符合不得分</w:t>
            </w:r>
          </w:p>
        </w:tc>
        <w:tc>
          <w:tcPr>
            <w:tcW w:w="633" w:type="dxa"/>
            <w:vAlign w:val="center"/>
          </w:tcPr>
          <w:p w14:paraId="04BB841C">
            <w:pPr>
              <w:keepNext w:val="0"/>
              <w:keepLines w:val="0"/>
              <w:pageBreakBefore w:val="0"/>
              <w:widowControl w:val="0"/>
              <w:kinsoku/>
              <w:wordWrap/>
              <w:overflowPunct/>
              <w:topLinePunct w:val="0"/>
              <w:autoSpaceDE/>
              <w:autoSpaceDN/>
              <w:bidi w:val="0"/>
              <w:adjustRightInd/>
              <w:snapToGrid/>
              <w:spacing w:line="290" w:lineRule="exact"/>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2</w:t>
            </w:r>
          </w:p>
        </w:tc>
      </w:tr>
      <w:tr w14:paraId="164D54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8" w:type="dxa"/>
            <w:vMerge w:val="continue"/>
            <w:vAlign w:val="center"/>
          </w:tcPr>
          <w:p w14:paraId="2D1076DD">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p>
        </w:tc>
        <w:tc>
          <w:tcPr>
            <w:tcW w:w="3507" w:type="dxa"/>
            <w:vAlign w:val="center"/>
          </w:tcPr>
          <w:p w14:paraId="49332E88">
            <w:pPr>
              <w:keepNext w:val="0"/>
              <w:keepLines w:val="0"/>
              <w:pageBreakBefore w:val="0"/>
              <w:widowControl w:val="0"/>
              <w:kinsoku/>
              <w:wordWrap/>
              <w:overflowPunct/>
              <w:topLinePunct w:val="0"/>
              <w:autoSpaceDE/>
              <w:autoSpaceDN/>
              <w:bidi w:val="0"/>
              <w:adjustRightInd/>
              <w:snapToGrid/>
              <w:spacing w:line="290" w:lineRule="exact"/>
              <w:ind w:left="0" w:right="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1.2 采矿场和排废场低压电力网的配电电压可采用380/660V或220/380V，手持式电气设备的电压不得大于220V，照明电压宜采用220V或220/380V，行灯电压不应大于36V。</w:t>
            </w:r>
          </w:p>
        </w:tc>
        <w:tc>
          <w:tcPr>
            <w:tcW w:w="1080" w:type="dxa"/>
            <w:vAlign w:val="center"/>
          </w:tcPr>
          <w:p w14:paraId="280B6C7B">
            <w:pPr>
              <w:keepNext w:val="0"/>
              <w:keepLines w:val="0"/>
              <w:pageBreakBefore w:val="0"/>
              <w:widowControl w:val="0"/>
              <w:kinsoku/>
              <w:wordWrap/>
              <w:overflowPunct/>
              <w:topLinePunct w:val="0"/>
              <w:autoSpaceDE/>
              <w:autoSpaceDN/>
              <w:bidi w:val="0"/>
              <w:adjustRightInd/>
              <w:snapToGrid/>
              <w:spacing w:line="290" w:lineRule="exact"/>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GB50070-2020</w:t>
            </w:r>
          </w:p>
          <w:p w14:paraId="64ECEA7B">
            <w:pPr>
              <w:keepNext w:val="0"/>
              <w:keepLines w:val="0"/>
              <w:pageBreakBefore w:val="0"/>
              <w:widowControl w:val="0"/>
              <w:kinsoku/>
              <w:wordWrap/>
              <w:overflowPunct/>
              <w:topLinePunct w:val="0"/>
              <w:autoSpaceDE/>
              <w:autoSpaceDN/>
              <w:bidi w:val="0"/>
              <w:adjustRightInd/>
              <w:snapToGrid/>
              <w:spacing w:line="290" w:lineRule="exact"/>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5.0.13</w:t>
            </w:r>
          </w:p>
        </w:tc>
        <w:tc>
          <w:tcPr>
            <w:tcW w:w="840" w:type="dxa"/>
            <w:vAlign w:val="center"/>
          </w:tcPr>
          <w:p w14:paraId="23C665C7">
            <w:pPr>
              <w:keepNext w:val="0"/>
              <w:keepLines w:val="0"/>
              <w:pageBreakBefore w:val="0"/>
              <w:widowControl w:val="0"/>
              <w:kinsoku/>
              <w:wordWrap/>
              <w:overflowPunct/>
              <w:topLinePunct w:val="0"/>
              <w:autoSpaceDE/>
              <w:autoSpaceDN/>
              <w:bidi w:val="0"/>
              <w:adjustRightInd/>
              <w:snapToGrid/>
              <w:spacing w:line="290" w:lineRule="exact"/>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对照设计</w:t>
            </w:r>
          </w:p>
          <w:p w14:paraId="71DADA88">
            <w:pPr>
              <w:keepNext w:val="0"/>
              <w:keepLines w:val="0"/>
              <w:pageBreakBefore w:val="0"/>
              <w:widowControl w:val="0"/>
              <w:kinsoku/>
              <w:wordWrap/>
              <w:overflowPunct/>
              <w:topLinePunct w:val="0"/>
              <w:autoSpaceDE/>
              <w:autoSpaceDN/>
              <w:bidi w:val="0"/>
              <w:adjustRightInd/>
              <w:snapToGrid/>
              <w:spacing w:line="290" w:lineRule="exact"/>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检查现场</w:t>
            </w:r>
          </w:p>
        </w:tc>
        <w:tc>
          <w:tcPr>
            <w:tcW w:w="734" w:type="dxa"/>
            <w:vAlign w:val="center"/>
          </w:tcPr>
          <w:p w14:paraId="6E57E24A">
            <w:pPr>
              <w:keepNext w:val="0"/>
              <w:keepLines w:val="0"/>
              <w:pageBreakBefore w:val="0"/>
              <w:widowControl w:val="0"/>
              <w:kinsoku/>
              <w:wordWrap/>
              <w:overflowPunct/>
              <w:topLinePunct w:val="0"/>
              <w:autoSpaceDE/>
              <w:autoSpaceDN/>
              <w:bidi w:val="0"/>
              <w:adjustRightInd/>
              <w:snapToGrid/>
              <w:spacing w:line="290" w:lineRule="exact"/>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采矿场无需供电，不涉及</w:t>
            </w:r>
          </w:p>
        </w:tc>
        <w:tc>
          <w:tcPr>
            <w:tcW w:w="727" w:type="dxa"/>
            <w:vAlign w:val="center"/>
          </w:tcPr>
          <w:p w14:paraId="37C784D8">
            <w:pPr>
              <w:keepNext w:val="0"/>
              <w:keepLines w:val="0"/>
              <w:pageBreakBefore w:val="0"/>
              <w:widowControl w:val="0"/>
              <w:kinsoku/>
              <w:wordWrap/>
              <w:overflowPunct/>
              <w:topLinePunct w:val="0"/>
              <w:autoSpaceDE/>
              <w:autoSpaceDN/>
              <w:bidi w:val="0"/>
              <w:adjustRightInd/>
              <w:snapToGrid/>
              <w:spacing w:line="290" w:lineRule="exact"/>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4</w:t>
            </w:r>
          </w:p>
        </w:tc>
        <w:tc>
          <w:tcPr>
            <w:tcW w:w="809" w:type="dxa"/>
            <w:vAlign w:val="center"/>
          </w:tcPr>
          <w:p w14:paraId="22D5477E">
            <w:pPr>
              <w:keepNext w:val="0"/>
              <w:keepLines w:val="0"/>
              <w:pageBreakBefore w:val="0"/>
              <w:widowControl w:val="0"/>
              <w:kinsoku/>
              <w:wordWrap/>
              <w:overflowPunct/>
              <w:topLinePunct w:val="0"/>
              <w:autoSpaceDE/>
              <w:autoSpaceDN/>
              <w:bidi w:val="0"/>
              <w:adjustRightInd/>
              <w:snapToGrid/>
              <w:spacing w:line="290" w:lineRule="exact"/>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1项不符合扣1分</w:t>
            </w:r>
          </w:p>
        </w:tc>
        <w:tc>
          <w:tcPr>
            <w:tcW w:w="633" w:type="dxa"/>
            <w:vAlign w:val="center"/>
          </w:tcPr>
          <w:p w14:paraId="76713434">
            <w:pPr>
              <w:keepNext w:val="0"/>
              <w:keepLines w:val="0"/>
              <w:pageBreakBefore w:val="0"/>
              <w:widowControl w:val="0"/>
              <w:kinsoku/>
              <w:wordWrap/>
              <w:overflowPunct/>
              <w:topLinePunct w:val="0"/>
              <w:autoSpaceDE/>
              <w:autoSpaceDN/>
              <w:bidi w:val="0"/>
              <w:adjustRightInd/>
              <w:snapToGrid/>
              <w:spacing w:line="290" w:lineRule="exact"/>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w:t>
            </w:r>
          </w:p>
        </w:tc>
      </w:tr>
      <w:tr w14:paraId="68CCF7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8" w:type="dxa"/>
            <w:vMerge w:val="continue"/>
            <w:vAlign w:val="center"/>
          </w:tcPr>
          <w:p w14:paraId="7BD17F5E">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p>
        </w:tc>
        <w:tc>
          <w:tcPr>
            <w:tcW w:w="3507" w:type="dxa"/>
            <w:vAlign w:val="center"/>
          </w:tcPr>
          <w:p w14:paraId="70B7FFDE">
            <w:pPr>
              <w:keepNext w:val="0"/>
              <w:keepLines w:val="0"/>
              <w:pageBreakBefore w:val="0"/>
              <w:widowControl w:val="0"/>
              <w:kinsoku/>
              <w:wordWrap/>
              <w:overflowPunct/>
              <w:topLinePunct w:val="0"/>
              <w:autoSpaceDE/>
              <w:autoSpaceDN/>
              <w:bidi w:val="0"/>
              <w:adjustRightInd/>
              <w:snapToGrid/>
              <w:spacing w:line="290" w:lineRule="exact"/>
              <w:ind w:left="0" w:right="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1.3 矿山地面主变电所的主变压器台数，应符合下规定：</w:t>
            </w:r>
          </w:p>
          <w:p w14:paraId="44FD5A4D">
            <w:pPr>
              <w:keepNext w:val="0"/>
              <w:keepLines w:val="0"/>
              <w:pageBreakBefore w:val="0"/>
              <w:widowControl w:val="0"/>
              <w:kinsoku/>
              <w:wordWrap/>
              <w:overflowPunct/>
              <w:topLinePunct w:val="0"/>
              <w:autoSpaceDE/>
              <w:autoSpaceDN/>
              <w:bidi w:val="0"/>
              <w:adjustRightInd/>
              <w:snapToGrid/>
              <w:spacing w:line="290" w:lineRule="exact"/>
              <w:ind w:left="0" w:right="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1、大、中型矿山宜采用2台以上；</w:t>
            </w:r>
          </w:p>
          <w:p w14:paraId="7F3A0A0B">
            <w:pPr>
              <w:keepNext w:val="0"/>
              <w:keepLines w:val="0"/>
              <w:pageBreakBefore w:val="0"/>
              <w:widowControl w:val="0"/>
              <w:kinsoku/>
              <w:wordWrap/>
              <w:overflowPunct/>
              <w:topLinePunct w:val="0"/>
              <w:autoSpaceDE/>
              <w:autoSpaceDN/>
              <w:bidi w:val="0"/>
              <w:adjustRightInd/>
              <w:snapToGrid/>
              <w:spacing w:line="290" w:lineRule="exact"/>
              <w:ind w:left="0" w:right="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2、矿山一级负荷的两个电源均需经主变压器时，应采用2台变压器；</w:t>
            </w:r>
          </w:p>
          <w:p w14:paraId="581CFBC0">
            <w:pPr>
              <w:keepNext w:val="0"/>
              <w:keepLines w:val="0"/>
              <w:pageBreakBefore w:val="0"/>
              <w:widowControl w:val="0"/>
              <w:kinsoku/>
              <w:wordWrap/>
              <w:overflowPunct/>
              <w:topLinePunct w:val="0"/>
              <w:autoSpaceDE/>
              <w:autoSpaceDN/>
              <w:bidi w:val="0"/>
              <w:adjustRightInd/>
              <w:snapToGrid/>
              <w:spacing w:line="290" w:lineRule="exact"/>
              <w:ind w:left="0" w:right="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3、主变压器为2台及以上时，若其中1台停止运行，其余变压器应至少保证一级负荷的供电；</w:t>
            </w:r>
          </w:p>
          <w:p w14:paraId="0C8DAD7C">
            <w:pPr>
              <w:keepNext w:val="0"/>
              <w:keepLines w:val="0"/>
              <w:pageBreakBefore w:val="0"/>
              <w:widowControl w:val="0"/>
              <w:kinsoku/>
              <w:wordWrap/>
              <w:overflowPunct/>
              <w:topLinePunct w:val="0"/>
              <w:autoSpaceDE/>
              <w:autoSpaceDN/>
              <w:bidi w:val="0"/>
              <w:adjustRightInd/>
              <w:snapToGrid/>
              <w:spacing w:line="290" w:lineRule="exact"/>
              <w:ind w:left="0" w:right="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4、无一级负荷的小型矿山工程可采用1台。</w:t>
            </w:r>
          </w:p>
        </w:tc>
        <w:tc>
          <w:tcPr>
            <w:tcW w:w="1080" w:type="dxa"/>
            <w:vAlign w:val="center"/>
          </w:tcPr>
          <w:p w14:paraId="64753D7E">
            <w:pPr>
              <w:keepNext w:val="0"/>
              <w:keepLines w:val="0"/>
              <w:pageBreakBefore w:val="0"/>
              <w:widowControl w:val="0"/>
              <w:kinsoku/>
              <w:wordWrap/>
              <w:overflowPunct/>
              <w:topLinePunct w:val="0"/>
              <w:autoSpaceDE/>
              <w:autoSpaceDN/>
              <w:bidi w:val="0"/>
              <w:adjustRightInd/>
              <w:snapToGrid/>
              <w:spacing w:line="290" w:lineRule="exact"/>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GB16423-2020</w:t>
            </w:r>
          </w:p>
          <w:p w14:paraId="6B0284AB">
            <w:pPr>
              <w:keepNext w:val="0"/>
              <w:keepLines w:val="0"/>
              <w:pageBreakBefore w:val="0"/>
              <w:widowControl w:val="0"/>
              <w:kinsoku/>
              <w:wordWrap/>
              <w:overflowPunct/>
              <w:topLinePunct w:val="0"/>
              <w:autoSpaceDE/>
              <w:autoSpaceDN/>
              <w:bidi w:val="0"/>
              <w:adjustRightInd/>
              <w:snapToGrid/>
              <w:spacing w:line="290" w:lineRule="exact"/>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5.6.1.2</w:t>
            </w:r>
          </w:p>
          <w:p w14:paraId="2BF810AA">
            <w:pPr>
              <w:keepNext w:val="0"/>
              <w:keepLines w:val="0"/>
              <w:pageBreakBefore w:val="0"/>
              <w:widowControl w:val="0"/>
              <w:kinsoku/>
              <w:wordWrap/>
              <w:overflowPunct/>
              <w:topLinePunct w:val="0"/>
              <w:autoSpaceDE/>
              <w:autoSpaceDN/>
              <w:bidi w:val="0"/>
              <w:adjustRightInd/>
              <w:snapToGrid/>
              <w:spacing w:line="290" w:lineRule="exact"/>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GB50070-2020</w:t>
            </w:r>
          </w:p>
          <w:p w14:paraId="3CC4394B">
            <w:pPr>
              <w:keepNext w:val="0"/>
              <w:keepLines w:val="0"/>
              <w:pageBreakBefore w:val="0"/>
              <w:widowControl w:val="0"/>
              <w:kinsoku/>
              <w:wordWrap/>
              <w:overflowPunct/>
              <w:topLinePunct w:val="0"/>
              <w:autoSpaceDE/>
              <w:autoSpaceDN/>
              <w:bidi w:val="0"/>
              <w:adjustRightInd/>
              <w:snapToGrid/>
              <w:spacing w:line="290" w:lineRule="exact"/>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3.0.7</w:t>
            </w:r>
          </w:p>
        </w:tc>
        <w:tc>
          <w:tcPr>
            <w:tcW w:w="840" w:type="dxa"/>
            <w:vAlign w:val="center"/>
          </w:tcPr>
          <w:p w14:paraId="5B753CE3">
            <w:pPr>
              <w:keepNext w:val="0"/>
              <w:keepLines w:val="0"/>
              <w:pageBreakBefore w:val="0"/>
              <w:widowControl w:val="0"/>
              <w:kinsoku/>
              <w:wordWrap/>
              <w:overflowPunct/>
              <w:topLinePunct w:val="0"/>
              <w:autoSpaceDE/>
              <w:autoSpaceDN/>
              <w:bidi w:val="0"/>
              <w:adjustRightInd/>
              <w:snapToGrid/>
              <w:spacing w:line="290" w:lineRule="exact"/>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对照设计</w:t>
            </w:r>
          </w:p>
          <w:p w14:paraId="4AAAE26A">
            <w:pPr>
              <w:keepNext w:val="0"/>
              <w:keepLines w:val="0"/>
              <w:pageBreakBefore w:val="0"/>
              <w:widowControl w:val="0"/>
              <w:kinsoku/>
              <w:wordWrap/>
              <w:overflowPunct/>
              <w:topLinePunct w:val="0"/>
              <w:autoSpaceDE/>
              <w:autoSpaceDN/>
              <w:bidi w:val="0"/>
              <w:adjustRightInd/>
              <w:snapToGrid/>
              <w:spacing w:line="290" w:lineRule="exact"/>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检查现场</w:t>
            </w:r>
          </w:p>
        </w:tc>
        <w:tc>
          <w:tcPr>
            <w:tcW w:w="734" w:type="dxa"/>
            <w:vAlign w:val="center"/>
          </w:tcPr>
          <w:p w14:paraId="37D4900E">
            <w:pPr>
              <w:keepNext w:val="0"/>
              <w:keepLines w:val="0"/>
              <w:pageBreakBefore w:val="0"/>
              <w:widowControl w:val="0"/>
              <w:kinsoku/>
              <w:wordWrap/>
              <w:overflowPunct/>
              <w:topLinePunct w:val="0"/>
              <w:autoSpaceDE/>
              <w:autoSpaceDN/>
              <w:bidi w:val="0"/>
              <w:adjustRightInd/>
              <w:snapToGrid/>
              <w:spacing w:line="290" w:lineRule="exact"/>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符合</w:t>
            </w:r>
          </w:p>
        </w:tc>
        <w:tc>
          <w:tcPr>
            <w:tcW w:w="727" w:type="dxa"/>
            <w:vAlign w:val="center"/>
          </w:tcPr>
          <w:p w14:paraId="37DBD891">
            <w:pPr>
              <w:keepNext w:val="0"/>
              <w:keepLines w:val="0"/>
              <w:pageBreakBefore w:val="0"/>
              <w:widowControl w:val="0"/>
              <w:kinsoku/>
              <w:wordWrap/>
              <w:overflowPunct/>
              <w:topLinePunct w:val="0"/>
              <w:autoSpaceDE/>
              <w:autoSpaceDN/>
              <w:bidi w:val="0"/>
              <w:adjustRightInd/>
              <w:snapToGrid/>
              <w:spacing w:line="290" w:lineRule="exact"/>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4</w:t>
            </w:r>
          </w:p>
        </w:tc>
        <w:tc>
          <w:tcPr>
            <w:tcW w:w="809" w:type="dxa"/>
            <w:vAlign w:val="center"/>
          </w:tcPr>
          <w:p w14:paraId="6A89F692">
            <w:pPr>
              <w:keepNext w:val="0"/>
              <w:keepLines w:val="0"/>
              <w:pageBreakBefore w:val="0"/>
              <w:widowControl w:val="0"/>
              <w:kinsoku/>
              <w:wordWrap/>
              <w:overflowPunct/>
              <w:topLinePunct w:val="0"/>
              <w:autoSpaceDE/>
              <w:autoSpaceDN/>
              <w:bidi w:val="0"/>
              <w:adjustRightInd/>
              <w:snapToGrid/>
              <w:spacing w:line="290" w:lineRule="exact"/>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1项不符合扣1分</w:t>
            </w:r>
          </w:p>
        </w:tc>
        <w:tc>
          <w:tcPr>
            <w:tcW w:w="633" w:type="dxa"/>
            <w:vAlign w:val="center"/>
          </w:tcPr>
          <w:p w14:paraId="4CBF424C">
            <w:pPr>
              <w:keepNext w:val="0"/>
              <w:keepLines w:val="0"/>
              <w:pageBreakBefore w:val="0"/>
              <w:widowControl w:val="0"/>
              <w:kinsoku/>
              <w:wordWrap/>
              <w:overflowPunct/>
              <w:topLinePunct w:val="0"/>
              <w:autoSpaceDE/>
              <w:autoSpaceDN/>
              <w:bidi w:val="0"/>
              <w:adjustRightInd/>
              <w:snapToGrid/>
              <w:spacing w:line="290" w:lineRule="exact"/>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4</w:t>
            </w:r>
          </w:p>
        </w:tc>
      </w:tr>
      <w:tr w14:paraId="4EECD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8" w:type="dxa"/>
            <w:vMerge w:val="continue"/>
            <w:vAlign w:val="center"/>
          </w:tcPr>
          <w:p w14:paraId="23469A1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p>
        </w:tc>
        <w:tc>
          <w:tcPr>
            <w:tcW w:w="3507" w:type="dxa"/>
            <w:vAlign w:val="center"/>
          </w:tcPr>
          <w:p w14:paraId="7911BAF9">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1.4采矿场采用双回路供电时，每回路供电能力应均能供全负荷；采用三回路供电时，每个回路的供电能力不应小于全部负荷的50%。</w:t>
            </w:r>
          </w:p>
        </w:tc>
        <w:tc>
          <w:tcPr>
            <w:tcW w:w="1080" w:type="dxa"/>
            <w:vAlign w:val="center"/>
          </w:tcPr>
          <w:p w14:paraId="1E3EF8DD">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GB16423-2020</w:t>
            </w:r>
          </w:p>
          <w:p w14:paraId="3F938FBE">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5.6.1.4</w:t>
            </w:r>
          </w:p>
          <w:p w14:paraId="77680721">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p>
        </w:tc>
        <w:tc>
          <w:tcPr>
            <w:tcW w:w="840" w:type="dxa"/>
            <w:vAlign w:val="center"/>
          </w:tcPr>
          <w:p w14:paraId="2A4C33B5">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对照设计</w:t>
            </w:r>
          </w:p>
          <w:p w14:paraId="1ECAA9E4">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检查现场</w:t>
            </w:r>
          </w:p>
        </w:tc>
        <w:tc>
          <w:tcPr>
            <w:tcW w:w="734" w:type="dxa"/>
            <w:vAlign w:val="center"/>
          </w:tcPr>
          <w:p w14:paraId="7030458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不涉及</w:t>
            </w:r>
          </w:p>
        </w:tc>
        <w:tc>
          <w:tcPr>
            <w:tcW w:w="727" w:type="dxa"/>
            <w:vAlign w:val="center"/>
          </w:tcPr>
          <w:p w14:paraId="7D709C6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2</w:t>
            </w:r>
          </w:p>
        </w:tc>
        <w:tc>
          <w:tcPr>
            <w:tcW w:w="809" w:type="dxa"/>
            <w:vAlign w:val="center"/>
          </w:tcPr>
          <w:p w14:paraId="57B0542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不符合不得分</w:t>
            </w:r>
          </w:p>
        </w:tc>
        <w:tc>
          <w:tcPr>
            <w:tcW w:w="633" w:type="dxa"/>
            <w:vAlign w:val="center"/>
          </w:tcPr>
          <w:p w14:paraId="2D07EBF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w:t>
            </w:r>
          </w:p>
        </w:tc>
      </w:tr>
      <w:tr w14:paraId="78BD4F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8" w:type="dxa"/>
            <w:vMerge w:val="continue"/>
            <w:vAlign w:val="center"/>
          </w:tcPr>
          <w:p w14:paraId="45F14130">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p>
        </w:tc>
        <w:tc>
          <w:tcPr>
            <w:tcW w:w="3507" w:type="dxa"/>
            <w:vAlign w:val="center"/>
          </w:tcPr>
          <w:p w14:paraId="2F49E970">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1.5 露天采矿场的供电线路不宜少于两回路，两班生产的采矿场或小型采矿场可采用一回路；排废场的供电线路可采用一回路。</w:t>
            </w:r>
          </w:p>
        </w:tc>
        <w:tc>
          <w:tcPr>
            <w:tcW w:w="1080" w:type="dxa"/>
            <w:vAlign w:val="center"/>
          </w:tcPr>
          <w:p w14:paraId="2CE8FABD">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GB50070-2020</w:t>
            </w:r>
          </w:p>
          <w:p w14:paraId="1401E0EF">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5.0.1</w:t>
            </w:r>
          </w:p>
        </w:tc>
        <w:tc>
          <w:tcPr>
            <w:tcW w:w="840" w:type="dxa"/>
            <w:vAlign w:val="center"/>
          </w:tcPr>
          <w:p w14:paraId="70160B56">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对照设计</w:t>
            </w:r>
          </w:p>
          <w:p w14:paraId="3D8AE98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检查现场</w:t>
            </w:r>
          </w:p>
        </w:tc>
        <w:tc>
          <w:tcPr>
            <w:tcW w:w="734" w:type="dxa"/>
            <w:vAlign w:val="center"/>
          </w:tcPr>
          <w:p w14:paraId="1896933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不涉及</w:t>
            </w:r>
          </w:p>
        </w:tc>
        <w:tc>
          <w:tcPr>
            <w:tcW w:w="727" w:type="dxa"/>
            <w:vAlign w:val="center"/>
          </w:tcPr>
          <w:p w14:paraId="009F5DE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2</w:t>
            </w:r>
          </w:p>
        </w:tc>
        <w:tc>
          <w:tcPr>
            <w:tcW w:w="809" w:type="dxa"/>
            <w:vAlign w:val="center"/>
          </w:tcPr>
          <w:p w14:paraId="7A9096F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不符合不得分</w:t>
            </w:r>
          </w:p>
        </w:tc>
        <w:tc>
          <w:tcPr>
            <w:tcW w:w="633" w:type="dxa"/>
            <w:vAlign w:val="center"/>
          </w:tcPr>
          <w:p w14:paraId="7D9CBA8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w:t>
            </w:r>
          </w:p>
        </w:tc>
      </w:tr>
      <w:tr w14:paraId="48B40B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8" w:type="dxa"/>
            <w:vMerge w:val="continue"/>
            <w:vAlign w:val="center"/>
          </w:tcPr>
          <w:p w14:paraId="35C219C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p>
        </w:tc>
        <w:tc>
          <w:tcPr>
            <w:tcW w:w="3507" w:type="dxa"/>
            <w:vAlign w:val="center"/>
          </w:tcPr>
          <w:p w14:paraId="03FB15ED">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1.6 当采用连续开采工艺时，移动式输送机的配电宜采用移动变电站或可移动的户外组合式配电装置。</w:t>
            </w:r>
          </w:p>
        </w:tc>
        <w:tc>
          <w:tcPr>
            <w:tcW w:w="1080" w:type="dxa"/>
            <w:vAlign w:val="center"/>
          </w:tcPr>
          <w:p w14:paraId="0E5CD72A">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GB50070-2020</w:t>
            </w:r>
          </w:p>
          <w:p w14:paraId="557A479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5.0.3</w:t>
            </w:r>
          </w:p>
        </w:tc>
        <w:tc>
          <w:tcPr>
            <w:tcW w:w="840" w:type="dxa"/>
            <w:vAlign w:val="center"/>
          </w:tcPr>
          <w:p w14:paraId="54478A4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对照设计</w:t>
            </w:r>
          </w:p>
          <w:p w14:paraId="4977A97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检查现场</w:t>
            </w:r>
          </w:p>
        </w:tc>
        <w:tc>
          <w:tcPr>
            <w:tcW w:w="734" w:type="dxa"/>
            <w:vAlign w:val="center"/>
          </w:tcPr>
          <w:p w14:paraId="50FBAE7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不涉及</w:t>
            </w:r>
          </w:p>
        </w:tc>
        <w:tc>
          <w:tcPr>
            <w:tcW w:w="727" w:type="dxa"/>
            <w:vAlign w:val="center"/>
          </w:tcPr>
          <w:p w14:paraId="1F2A473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2</w:t>
            </w:r>
          </w:p>
        </w:tc>
        <w:tc>
          <w:tcPr>
            <w:tcW w:w="809" w:type="dxa"/>
            <w:vAlign w:val="center"/>
          </w:tcPr>
          <w:p w14:paraId="5AB2CDB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不符合不得分</w:t>
            </w:r>
          </w:p>
        </w:tc>
        <w:tc>
          <w:tcPr>
            <w:tcW w:w="633" w:type="dxa"/>
            <w:vAlign w:val="center"/>
          </w:tcPr>
          <w:p w14:paraId="5612D3E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w:t>
            </w:r>
          </w:p>
        </w:tc>
      </w:tr>
      <w:tr w14:paraId="464598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8" w:type="dxa"/>
            <w:vMerge w:val="continue"/>
            <w:vAlign w:val="center"/>
          </w:tcPr>
          <w:p w14:paraId="50652263">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p>
        </w:tc>
        <w:tc>
          <w:tcPr>
            <w:tcW w:w="3507" w:type="dxa"/>
            <w:vAlign w:val="center"/>
          </w:tcPr>
          <w:p w14:paraId="72A0AA66">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1.7 采矿场和排废场供电线路的架设方式宜符合下列规定：</w:t>
            </w:r>
          </w:p>
          <w:p w14:paraId="233FC0B4">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1、沿采矿场边缘宜架设环形或半环形的供电线路；2、排废场可采用干线式供电线路；</w:t>
            </w:r>
          </w:p>
          <w:p w14:paraId="3A9AC34A">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3、固定式供电线路与采矿场最终边界之间的距离宜大于10m；</w:t>
            </w:r>
          </w:p>
          <w:p w14:paraId="37B45D3F">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4、当采矿场宽度较大且开采时间较长，架设在最终边界线以外不合理时，可架设在最终边界线以内。</w:t>
            </w:r>
          </w:p>
        </w:tc>
        <w:tc>
          <w:tcPr>
            <w:tcW w:w="1080" w:type="dxa"/>
            <w:vAlign w:val="center"/>
          </w:tcPr>
          <w:p w14:paraId="03E1D699">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GB50070-2020</w:t>
            </w:r>
          </w:p>
          <w:p w14:paraId="68E2B018">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5.0.6</w:t>
            </w:r>
          </w:p>
        </w:tc>
        <w:tc>
          <w:tcPr>
            <w:tcW w:w="840" w:type="dxa"/>
            <w:vAlign w:val="center"/>
          </w:tcPr>
          <w:p w14:paraId="74884E9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检查现场</w:t>
            </w:r>
          </w:p>
        </w:tc>
        <w:tc>
          <w:tcPr>
            <w:tcW w:w="734" w:type="dxa"/>
            <w:vAlign w:val="center"/>
          </w:tcPr>
          <w:p w14:paraId="7F2D80D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不涉及</w:t>
            </w:r>
          </w:p>
        </w:tc>
        <w:tc>
          <w:tcPr>
            <w:tcW w:w="727" w:type="dxa"/>
            <w:vAlign w:val="center"/>
          </w:tcPr>
          <w:p w14:paraId="2D7FE4A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4</w:t>
            </w:r>
          </w:p>
        </w:tc>
        <w:tc>
          <w:tcPr>
            <w:tcW w:w="809" w:type="dxa"/>
            <w:vAlign w:val="center"/>
          </w:tcPr>
          <w:p w14:paraId="58765442">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1项不符合扣1分</w:t>
            </w:r>
          </w:p>
        </w:tc>
        <w:tc>
          <w:tcPr>
            <w:tcW w:w="633" w:type="dxa"/>
            <w:vAlign w:val="center"/>
          </w:tcPr>
          <w:p w14:paraId="12ABD8F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w:t>
            </w:r>
          </w:p>
        </w:tc>
      </w:tr>
      <w:tr w14:paraId="3192FA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8" w:type="dxa"/>
            <w:vMerge w:val="continue"/>
            <w:vAlign w:val="center"/>
          </w:tcPr>
          <w:p w14:paraId="2208504D">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p>
        </w:tc>
        <w:tc>
          <w:tcPr>
            <w:tcW w:w="3507" w:type="dxa"/>
            <w:vAlign w:val="center"/>
          </w:tcPr>
          <w:p w14:paraId="2450FB5B">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1.8 采矿场内的架空线路宜采用钢芯铝绞线，其截面积不应小于35mm</w:t>
            </w:r>
            <w:r>
              <w:rPr>
                <w:rFonts w:hint="default"/>
                <w:color w:val="auto"/>
                <w:sz w:val="21"/>
                <w:szCs w:val="21"/>
                <w:vertAlign w:val="superscript"/>
                <w:lang w:val="en-US" w:eastAsia="zh-CN"/>
              </w:rPr>
              <w:t>2</w:t>
            </w:r>
            <w:r>
              <w:rPr>
                <w:rFonts w:hint="default"/>
                <w:color w:val="auto"/>
                <w:sz w:val="21"/>
                <w:szCs w:val="21"/>
                <w:vertAlign w:val="baseline"/>
                <w:lang w:val="en-US" w:eastAsia="zh-CN"/>
              </w:rPr>
              <w:t>。排废除场的架空线路宜采用铝绞线。</w:t>
            </w:r>
          </w:p>
        </w:tc>
        <w:tc>
          <w:tcPr>
            <w:tcW w:w="1080" w:type="dxa"/>
            <w:vAlign w:val="center"/>
          </w:tcPr>
          <w:p w14:paraId="676D4259">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GB50070-2020</w:t>
            </w:r>
          </w:p>
          <w:p w14:paraId="48025864">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5.0.9</w:t>
            </w:r>
          </w:p>
        </w:tc>
        <w:tc>
          <w:tcPr>
            <w:tcW w:w="840" w:type="dxa"/>
            <w:vAlign w:val="center"/>
          </w:tcPr>
          <w:p w14:paraId="5CB794B2">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检查现场</w:t>
            </w:r>
          </w:p>
        </w:tc>
        <w:tc>
          <w:tcPr>
            <w:tcW w:w="734" w:type="dxa"/>
            <w:vAlign w:val="center"/>
          </w:tcPr>
          <w:p w14:paraId="5C0C551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不涉及</w:t>
            </w:r>
          </w:p>
        </w:tc>
        <w:tc>
          <w:tcPr>
            <w:tcW w:w="727" w:type="dxa"/>
            <w:vAlign w:val="center"/>
          </w:tcPr>
          <w:p w14:paraId="3C79D26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2</w:t>
            </w:r>
          </w:p>
        </w:tc>
        <w:tc>
          <w:tcPr>
            <w:tcW w:w="809" w:type="dxa"/>
            <w:vAlign w:val="center"/>
          </w:tcPr>
          <w:p w14:paraId="03755B20">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1项不符合扣1分</w:t>
            </w:r>
          </w:p>
        </w:tc>
        <w:tc>
          <w:tcPr>
            <w:tcW w:w="633" w:type="dxa"/>
            <w:vAlign w:val="center"/>
          </w:tcPr>
          <w:p w14:paraId="74A22D5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w:t>
            </w:r>
          </w:p>
        </w:tc>
      </w:tr>
      <w:tr w14:paraId="2D83B3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8" w:type="dxa"/>
            <w:vMerge w:val="continue"/>
            <w:vAlign w:val="center"/>
          </w:tcPr>
          <w:p w14:paraId="70C4DAC5">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p>
        </w:tc>
        <w:tc>
          <w:tcPr>
            <w:tcW w:w="3507" w:type="dxa"/>
            <w:vAlign w:val="center"/>
          </w:tcPr>
          <w:p w14:paraId="4266D229">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1.9 固定式高压架空电力线路不应架设在爆破作业区和未稳定的排土区内。</w:t>
            </w:r>
          </w:p>
        </w:tc>
        <w:tc>
          <w:tcPr>
            <w:tcW w:w="1080" w:type="dxa"/>
            <w:vAlign w:val="center"/>
          </w:tcPr>
          <w:p w14:paraId="21FDC90F">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GB16423-2020</w:t>
            </w:r>
          </w:p>
          <w:p w14:paraId="18889670">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5.6.1.8</w:t>
            </w:r>
          </w:p>
          <w:p w14:paraId="139AAEA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p>
        </w:tc>
        <w:tc>
          <w:tcPr>
            <w:tcW w:w="840" w:type="dxa"/>
            <w:vAlign w:val="center"/>
          </w:tcPr>
          <w:p w14:paraId="51CE5E4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现场检查</w:t>
            </w:r>
          </w:p>
        </w:tc>
        <w:tc>
          <w:tcPr>
            <w:tcW w:w="734" w:type="dxa"/>
            <w:vAlign w:val="center"/>
          </w:tcPr>
          <w:p w14:paraId="34288B6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不涉及</w:t>
            </w:r>
          </w:p>
        </w:tc>
        <w:tc>
          <w:tcPr>
            <w:tcW w:w="727" w:type="dxa"/>
            <w:vAlign w:val="center"/>
          </w:tcPr>
          <w:p w14:paraId="64FAC29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2</w:t>
            </w:r>
          </w:p>
        </w:tc>
        <w:tc>
          <w:tcPr>
            <w:tcW w:w="809" w:type="dxa"/>
            <w:vAlign w:val="center"/>
          </w:tcPr>
          <w:p w14:paraId="44270C5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不符合不得分</w:t>
            </w:r>
          </w:p>
        </w:tc>
        <w:tc>
          <w:tcPr>
            <w:tcW w:w="633" w:type="dxa"/>
            <w:vAlign w:val="center"/>
          </w:tcPr>
          <w:p w14:paraId="6ED6AE4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w:t>
            </w:r>
          </w:p>
        </w:tc>
      </w:tr>
      <w:tr w14:paraId="2A09E2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8" w:type="dxa"/>
            <w:vMerge w:val="continue"/>
            <w:vAlign w:val="center"/>
          </w:tcPr>
          <w:p w14:paraId="62E3ED35">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p>
        </w:tc>
        <w:tc>
          <w:tcPr>
            <w:tcW w:w="3507" w:type="dxa"/>
            <w:vAlign w:val="center"/>
          </w:tcPr>
          <w:p w14:paraId="2F7910CE">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1.10 移动式电气设备应使用矿用橡套软电缆。</w:t>
            </w:r>
          </w:p>
        </w:tc>
        <w:tc>
          <w:tcPr>
            <w:tcW w:w="1080" w:type="dxa"/>
            <w:vAlign w:val="center"/>
          </w:tcPr>
          <w:p w14:paraId="5A6DCBEA">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GB16423-2020</w:t>
            </w:r>
          </w:p>
          <w:p w14:paraId="4D1D2844">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5.6.1.9</w:t>
            </w:r>
          </w:p>
        </w:tc>
        <w:tc>
          <w:tcPr>
            <w:tcW w:w="840" w:type="dxa"/>
            <w:vAlign w:val="center"/>
          </w:tcPr>
          <w:p w14:paraId="51547CB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现场检查</w:t>
            </w:r>
          </w:p>
        </w:tc>
        <w:tc>
          <w:tcPr>
            <w:tcW w:w="734" w:type="dxa"/>
            <w:vAlign w:val="center"/>
          </w:tcPr>
          <w:p w14:paraId="575687A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不涉及</w:t>
            </w:r>
          </w:p>
        </w:tc>
        <w:tc>
          <w:tcPr>
            <w:tcW w:w="727" w:type="dxa"/>
            <w:vAlign w:val="center"/>
          </w:tcPr>
          <w:p w14:paraId="7E1B5CC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2</w:t>
            </w:r>
          </w:p>
        </w:tc>
        <w:tc>
          <w:tcPr>
            <w:tcW w:w="809" w:type="dxa"/>
            <w:vAlign w:val="center"/>
          </w:tcPr>
          <w:p w14:paraId="7D45767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不符合不得分</w:t>
            </w:r>
          </w:p>
        </w:tc>
        <w:tc>
          <w:tcPr>
            <w:tcW w:w="633" w:type="dxa"/>
            <w:vAlign w:val="center"/>
          </w:tcPr>
          <w:p w14:paraId="7C25EC0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w:t>
            </w:r>
          </w:p>
        </w:tc>
      </w:tr>
      <w:tr w14:paraId="387D1D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8" w:type="dxa"/>
            <w:vMerge w:val="restart"/>
            <w:vAlign w:val="center"/>
          </w:tcPr>
          <w:p w14:paraId="649BE20C">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2. 变配电室的安全设施</w:t>
            </w:r>
          </w:p>
        </w:tc>
        <w:tc>
          <w:tcPr>
            <w:tcW w:w="3507" w:type="dxa"/>
            <w:vAlign w:val="center"/>
          </w:tcPr>
          <w:p w14:paraId="1DF28F0A">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2</w:t>
            </w:r>
            <w:r>
              <w:rPr>
                <w:rFonts w:hint="default"/>
                <w:color w:val="auto"/>
                <w:sz w:val="21"/>
                <w:szCs w:val="21"/>
                <w:vertAlign w:val="baseline"/>
                <w:lang w:val="en-US" w:eastAsia="zh-CN"/>
              </w:rPr>
              <w:t>.1 主变电所设置应符合下列规定：</w:t>
            </w:r>
          </w:p>
          <w:p w14:paraId="204222FF">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设置在爆破警戒线以外；距离准轨铁路不小于</w:t>
            </w:r>
          </w:p>
          <w:p w14:paraId="7C2A388C">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40m；远离污秽及火灾、爆炸危险环境和噪声、震动环境；避开断层、滑坡、沉陷区等不良地质地带以及受雪崩影响地带；地面标高应高于当地最高洪水位0.5m以上。</w:t>
            </w:r>
          </w:p>
        </w:tc>
        <w:tc>
          <w:tcPr>
            <w:tcW w:w="1080" w:type="dxa"/>
            <w:vAlign w:val="center"/>
          </w:tcPr>
          <w:p w14:paraId="59D68868">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GB16423-2020</w:t>
            </w:r>
          </w:p>
          <w:p w14:paraId="5D4F3854">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5.6.1.1</w:t>
            </w:r>
          </w:p>
        </w:tc>
        <w:tc>
          <w:tcPr>
            <w:tcW w:w="840" w:type="dxa"/>
            <w:vAlign w:val="center"/>
          </w:tcPr>
          <w:p w14:paraId="705B0BFB">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对照设计</w:t>
            </w:r>
          </w:p>
          <w:p w14:paraId="67DF8F13">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检查现场</w:t>
            </w:r>
          </w:p>
        </w:tc>
        <w:tc>
          <w:tcPr>
            <w:tcW w:w="734" w:type="dxa"/>
            <w:vAlign w:val="center"/>
          </w:tcPr>
          <w:p w14:paraId="2E5D27F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符合</w:t>
            </w:r>
          </w:p>
        </w:tc>
        <w:tc>
          <w:tcPr>
            <w:tcW w:w="727" w:type="dxa"/>
            <w:vAlign w:val="center"/>
          </w:tcPr>
          <w:p w14:paraId="6D886BD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2</w:t>
            </w:r>
          </w:p>
        </w:tc>
        <w:tc>
          <w:tcPr>
            <w:tcW w:w="809" w:type="dxa"/>
            <w:vAlign w:val="center"/>
          </w:tcPr>
          <w:p w14:paraId="7954FF9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不符合不得分</w:t>
            </w:r>
          </w:p>
        </w:tc>
        <w:tc>
          <w:tcPr>
            <w:tcW w:w="633" w:type="dxa"/>
            <w:vAlign w:val="center"/>
          </w:tcPr>
          <w:p w14:paraId="5D9EC03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2</w:t>
            </w:r>
          </w:p>
        </w:tc>
      </w:tr>
      <w:tr w14:paraId="64C15C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8" w:type="dxa"/>
            <w:vMerge w:val="continue"/>
            <w:vAlign w:val="center"/>
          </w:tcPr>
          <w:p w14:paraId="7D2ECBD4">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p>
        </w:tc>
        <w:tc>
          <w:tcPr>
            <w:tcW w:w="3507" w:type="dxa"/>
            <w:vAlign w:val="center"/>
          </w:tcPr>
          <w:p w14:paraId="1877C47A">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2</w:t>
            </w:r>
            <w:r>
              <w:rPr>
                <w:rFonts w:hint="default"/>
                <w:color w:val="auto"/>
                <w:sz w:val="21"/>
                <w:szCs w:val="21"/>
                <w:vertAlign w:val="baseline"/>
                <w:lang w:val="en-US" w:eastAsia="zh-CN"/>
              </w:rPr>
              <w:t>.2 配电室的位置应靠近用电负荷中心，设置在尘埃少、腐蚀介质少、周围环境干燥和无剧烈震动的场所，并宜留有发展余地。</w:t>
            </w:r>
          </w:p>
        </w:tc>
        <w:tc>
          <w:tcPr>
            <w:tcW w:w="1080" w:type="dxa"/>
            <w:vAlign w:val="center"/>
          </w:tcPr>
          <w:p w14:paraId="5BFBB30D">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GB50054-2011</w:t>
            </w:r>
          </w:p>
          <w:p w14:paraId="05E73384">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4.1.1</w:t>
            </w:r>
          </w:p>
        </w:tc>
        <w:tc>
          <w:tcPr>
            <w:tcW w:w="840" w:type="dxa"/>
            <w:vAlign w:val="center"/>
          </w:tcPr>
          <w:p w14:paraId="5F1D035C">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对照设计</w:t>
            </w:r>
          </w:p>
          <w:p w14:paraId="6F8FC01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检查现场</w:t>
            </w:r>
          </w:p>
        </w:tc>
        <w:tc>
          <w:tcPr>
            <w:tcW w:w="734" w:type="dxa"/>
            <w:vAlign w:val="center"/>
          </w:tcPr>
          <w:p w14:paraId="32F50C70">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符合</w:t>
            </w:r>
          </w:p>
        </w:tc>
        <w:tc>
          <w:tcPr>
            <w:tcW w:w="727" w:type="dxa"/>
            <w:vAlign w:val="center"/>
          </w:tcPr>
          <w:p w14:paraId="729BA67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2</w:t>
            </w:r>
          </w:p>
        </w:tc>
        <w:tc>
          <w:tcPr>
            <w:tcW w:w="809" w:type="dxa"/>
            <w:vAlign w:val="center"/>
          </w:tcPr>
          <w:p w14:paraId="3C6E8AF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不符合不得分</w:t>
            </w:r>
          </w:p>
        </w:tc>
        <w:tc>
          <w:tcPr>
            <w:tcW w:w="633" w:type="dxa"/>
            <w:vAlign w:val="center"/>
          </w:tcPr>
          <w:p w14:paraId="546BB5F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2</w:t>
            </w:r>
          </w:p>
        </w:tc>
      </w:tr>
      <w:tr w14:paraId="659321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8" w:type="dxa"/>
            <w:vMerge w:val="continue"/>
            <w:shd w:val="clear" w:color="auto" w:fill="auto"/>
            <w:vAlign w:val="center"/>
          </w:tcPr>
          <w:p w14:paraId="402113C2">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p>
        </w:tc>
        <w:tc>
          <w:tcPr>
            <w:tcW w:w="3507" w:type="dxa"/>
            <w:shd w:val="clear" w:color="auto" w:fill="auto"/>
            <w:vAlign w:val="center"/>
          </w:tcPr>
          <w:p w14:paraId="1245B92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2</w:t>
            </w:r>
            <w:r>
              <w:rPr>
                <w:rFonts w:hint="default" w:ascii="Times New Roman" w:hAnsi="Times New Roman" w:eastAsia="宋体" w:cs="Times New Roman"/>
                <w:color w:val="auto"/>
                <w:kern w:val="2"/>
                <w:sz w:val="21"/>
                <w:szCs w:val="21"/>
                <w:vertAlign w:val="baseline"/>
                <w:lang w:val="en-US" w:eastAsia="zh-CN" w:bidi="ar-SA"/>
              </w:rPr>
              <w:t>.3 配电室屋顶承重构件的耐火等级不应低于二级，其他部分不应低于三级。当配电室与其他场所毗邻时，门的耐火等级应按两者中耐火等级高的确定。</w:t>
            </w:r>
          </w:p>
        </w:tc>
        <w:tc>
          <w:tcPr>
            <w:tcW w:w="1080" w:type="dxa"/>
            <w:shd w:val="clear" w:color="auto" w:fill="auto"/>
            <w:vAlign w:val="center"/>
          </w:tcPr>
          <w:p w14:paraId="25406991">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GB50054-2011</w:t>
            </w:r>
          </w:p>
          <w:p w14:paraId="6CFF576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4.3.1</w:t>
            </w:r>
          </w:p>
        </w:tc>
        <w:tc>
          <w:tcPr>
            <w:tcW w:w="840" w:type="dxa"/>
            <w:shd w:val="clear" w:color="auto" w:fill="auto"/>
            <w:vAlign w:val="center"/>
          </w:tcPr>
          <w:p w14:paraId="79C5B3B0">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对照设计</w:t>
            </w:r>
          </w:p>
          <w:p w14:paraId="5B0808A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检查现场</w:t>
            </w:r>
          </w:p>
        </w:tc>
        <w:tc>
          <w:tcPr>
            <w:tcW w:w="734" w:type="dxa"/>
            <w:shd w:val="clear" w:color="auto" w:fill="auto"/>
            <w:vAlign w:val="center"/>
          </w:tcPr>
          <w:p w14:paraId="58252FD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符合</w:t>
            </w:r>
          </w:p>
        </w:tc>
        <w:tc>
          <w:tcPr>
            <w:tcW w:w="727" w:type="dxa"/>
            <w:shd w:val="clear" w:color="auto" w:fill="auto"/>
            <w:vAlign w:val="center"/>
          </w:tcPr>
          <w:p w14:paraId="246F216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3</w:t>
            </w:r>
          </w:p>
        </w:tc>
        <w:tc>
          <w:tcPr>
            <w:tcW w:w="809" w:type="dxa"/>
            <w:shd w:val="clear" w:color="auto" w:fill="auto"/>
            <w:vAlign w:val="center"/>
          </w:tcPr>
          <w:p w14:paraId="00B5628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不符合不得分，不完善扣1.5分</w:t>
            </w:r>
          </w:p>
        </w:tc>
        <w:tc>
          <w:tcPr>
            <w:tcW w:w="633" w:type="dxa"/>
            <w:shd w:val="clear" w:color="auto" w:fill="auto"/>
            <w:vAlign w:val="center"/>
          </w:tcPr>
          <w:p w14:paraId="6C3F8C7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3</w:t>
            </w:r>
          </w:p>
        </w:tc>
      </w:tr>
      <w:tr w14:paraId="6CA33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8" w:type="dxa"/>
            <w:vMerge w:val="continue"/>
            <w:shd w:val="clear" w:color="auto" w:fill="auto"/>
            <w:vAlign w:val="center"/>
          </w:tcPr>
          <w:p w14:paraId="0BDA84F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p>
        </w:tc>
        <w:tc>
          <w:tcPr>
            <w:tcW w:w="3507" w:type="dxa"/>
            <w:shd w:val="clear" w:color="auto" w:fill="auto"/>
            <w:vAlign w:val="center"/>
          </w:tcPr>
          <w:p w14:paraId="11D54AC2">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2</w:t>
            </w:r>
            <w:r>
              <w:rPr>
                <w:rFonts w:hint="default" w:ascii="Times New Roman" w:hAnsi="Times New Roman" w:eastAsia="宋体" w:cs="Times New Roman"/>
                <w:color w:val="auto"/>
                <w:kern w:val="2"/>
                <w:sz w:val="21"/>
                <w:szCs w:val="21"/>
                <w:vertAlign w:val="baseline"/>
                <w:lang w:val="en-US" w:eastAsia="zh-CN" w:bidi="ar-SA"/>
              </w:rPr>
              <w:t>.4 配电室长度超过7m时，应设2个出口，并宜布置在配电室两端。当配电室双层布置时，楼上配电室的出口应至少设一个通向该层走廊或室外的安全出口。配电室的门均应向外开启，但通向高压配电室的门应为双向开启门。</w:t>
            </w:r>
          </w:p>
        </w:tc>
        <w:tc>
          <w:tcPr>
            <w:tcW w:w="1080" w:type="dxa"/>
            <w:shd w:val="clear" w:color="auto" w:fill="auto"/>
            <w:vAlign w:val="center"/>
          </w:tcPr>
          <w:p w14:paraId="48AA9756">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GB50054-2011</w:t>
            </w:r>
          </w:p>
          <w:p w14:paraId="3985C42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4.3.2</w:t>
            </w:r>
          </w:p>
        </w:tc>
        <w:tc>
          <w:tcPr>
            <w:tcW w:w="840" w:type="dxa"/>
            <w:shd w:val="clear" w:color="auto" w:fill="auto"/>
            <w:vAlign w:val="center"/>
          </w:tcPr>
          <w:p w14:paraId="0BCE2304">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现场检查</w:t>
            </w:r>
          </w:p>
        </w:tc>
        <w:tc>
          <w:tcPr>
            <w:tcW w:w="734" w:type="dxa"/>
            <w:shd w:val="clear" w:color="auto" w:fill="auto"/>
            <w:vAlign w:val="center"/>
          </w:tcPr>
          <w:p w14:paraId="28143D9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符合</w:t>
            </w:r>
          </w:p>
        </w:tc>
        <w:tc>
          <w:tcPr>
            <w:tcW w:w="727" w:type="dxa"/>
            <w:shd w:val="clear" w:color="auto" w:fill="auto"/>
            <w:vAlign w:val="center"/>
          </w:tcPr>
          <w:p w14:paraId="2296B87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3</w:t>
            </w:r>
          </w:p>
        </w:tc>
        <w:tc>
          <w:tcPr>
            <w:tcW w:w="809" w:type="dxa"/>
            <w:shd w:val="clear" w:color="auto" w:fill="auto"/>
            <w:vAlign w:val="center"/>
          </w:tcPr>
          <w:p w14:paraId="6B5E99C4">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不符合不得分，不完善扣1.5分</w:t>
            </w:r>
          </w:p>
        </w:tc>
        <w:tc>
          <w:tcPr>
            <w:tcW w:w="633" w:type="dxa"/>
            <w:shd w:val="clear" w:color="auto" w:fill="auto"/>
            <w:vAlign w:val="center"/>
          </w:tcPr>
          <w:p w14:paraId="02EAF974">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3</w:t>
            </w:r>
          </w:p>
        </w:tc>
      </w:tr>
      <w:tr w14:paraId="6FF01C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8" w:type="dxa"/>
            <w:vMerge w:val="continue"/>
            <w:shd w:val="clear" w:color="auto" w:fill="auto"/>
            <w:vAlign w:val="center"/>
          </w:tcPr>
          <w:p w14:paraId="5BB4D45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p>
        </w:tc>
        <w:tc>
          <w:tcPr>
            <w:tcW w:w="3507" w:type="dxa"/>
            <w:shd w:val="clear" w:color="auto" w:fill="auto"/>
            <w:vAlign w:val="center"/>
          </w:tcPr>
          <w:p w14:paraId="20AEC06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2</w:t>
            </w:r>
            <w:r>
              <w:rPr>
                <w:rFonts w:hint="default" w:ascii="Times New Roman" w:hAnsi="Times New Roman" w:eastAsia="宋体" w:cs="Times New Roman"/>
                <w:color w:val="auto"/>
                <w:kern w:val="2"/>
                <w:sz w:val="21"/>
                <w:szCs w:val="21"/>
                <w:vertAlign w:val="baseline"/>
                <w:lang w:val="en-US" w:eastAsia="zh-CN" w:bidi="ar-SA"/>
              </w:rPr>
              <w:t>.5 配电室内的电缆沟，应采取防水盒排水措施。配电室的地面宜高出本层地面50mm或设置防水门槛。</w:t>
            </w:r>
          </w:p>
        </w:tc>
        <w:tc>
          <w:tcPr>
            <w:tcW w:w="1080" w:type="dxa"/>
            <w:shd w:val="clear" w:color="auto" w:fill="auto"/>
            <w:vAlign w:val="center"/>
          </w:tcPr>
          <w:p w14:paraId="54581DDE">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GB50054-2011</w:t>
            </w:r>
          </w:p>
          <w:p w14:paraId="79442A70">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4.3.4</w:t>
            </w:r>
          </w:p>
        </w:tc>
        <w:tc>
          <w:tcPr>
            <w:tcW w:w="840" w:type="dxa"/>
            <w:shd w:val="clear" w:color="auto" w:fill="auto"/>
            <w:vAlign w:val="center"/>
          </w:tcPr>
          <w:p w14:paraId="083D1F7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现场检查</w:t>
            </w:r>
          </w:p>
        </w:tc>
        <w:tc>
          <w:tcPr>
            <w:tcW w:w="734" w:type="dxa"/>
            <w:shd w:val="clear" w:color="auto" w:fill="auto"/>
            <w:vAlign w:val="center"/>
          </w:tcPr>
          <w:p w14:paraId="4270CDB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符合</w:t>
            </w:r>
          </w:p>
        </w:tc>
        <w:tc>
          <w:tcPr>
            <w:tcW w:w="727" w:type="dxa"/>
            <w:shd w:val="clear" w:color="auto" w:fill="auto"/>
            <w:vAlign w:val="center"/>
          </w:tcPr>
          <w:p w14:paraId="0BA4C092">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3</w:t>
            </w:r>
          </w:p>
        </w:tc>
        <w:tc>
          <w:tcPr>
            <w:tcW w:w="809" w:type="dxa"/>
            <w:shd w:val="clear" w:color="auto" w:fill="auto"/>
            <w:vAlign w:val="center"/>
          </w:tcPr>
          <w:p w14:paraId="2FC9296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不符合不得分，不完善扣1.5分</w:t>
            </w:r>
          </w:p>
        </w:tc>
        <w:tc>
          <w:tcPr>
            <w:tcW w:w="633" w:type="dxa"/>
            <w:shd w:val="clear" w:color="auto" w:fill="auto"/>
            <w:vAlign w:val="center"/>
          </w:tcPr>
          <w:p w14:paraId="0CC5E38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3</w:t>
            </w:r>
          </w:p>
        </w:tc>
      </w:tr>
      <w:tr w14:paraId="747597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8" w:type="dxa"/>
            <w:vMerge w:val="continue"/>
            <w:shd w:val="clear" w:color="auto" w:fill="auto"/>
            <w:vAlign w:val="center"/>
          </w:tcPr>
          <w:p w14:paraId="2005CD2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p>
        </w:tc>
        <w:tc>
          <w:tcPr>
            <w:tcW w:w="3507" w:type="dxa"/>
            <w:shd w:val="clear" w:color="auto" w:fill="auto"/>
            <w:vAlign w:val="center"/>
          </w:tcPr>
          <w:p w14:paraId="107A4FD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2</w:t>
            </w:r>
            <w:r>
              <w:rPr>
                <w:rFonts w:hint="default" w:ascii="Times New Roman" w:hAnsi="Times New Roman" w:eastAsia="宋体" w:cs="Times New Roman"/>
                <w:color w:val="auto"/>
                <w:kern w:val="2"/>
                <w:sz w:val="21"/>
                <w:szCs w:val="21"/>
                <w:vertAlign w:val="baseline"/>
                <w:lang w:val="en-US" w:eastAsia="zh-CN" w:bidi="ar-SA"/>
              </w:rPr>
              <w:t>.6 配电室的门、窗关闭应密合；与室外相通的洞、通风孔应设防止鼠、蛇类等小动物进入网罩。直接与室外露天相通的通风孔尚应采取防止雨雪飘入的措施。</w:t>
            </w:r>
          </w:p>
        </w:tc>
        <w:tc>
          <w:tcPr>
            <w:tcW w:w="1080" w:type="dxa"/>
            <w:shd w:val="clear" w:color="auto" w:fill="auto"/>
            <w:vAlign w:val="center"/>
          </w:tcPr>
          <w:p w14:paraId="2B8932EB">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GB50054-2011</w:t>
            </w:r>
          </w:p>
          <w:p w14:paraId="739A3894">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4.3.7</w:t>
            </w:r>
          </w:p>
        </w:tc>
        <w:tc>
          <w:tcPr>
            <w:tcW w:w="840" w:type="dxa"/>
            <w:shd w:val="clear" w:color="auto" w:fill="auto"/>
            <w:vAlign w:val="center"/>
          </w:tcPr>
          <w:p w14:paraId="65A59FB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现场检查</w:t>
            </w:r>
          </w:p>
        </w:tc>
        <w:tc>
          <w:tcPr>
            <w:tcW w:w="734" w:type="dxa"/>
            <w:shd w:val="clear" w:color="auto" w:fill="auto"/>
            <w:vAlign w:val="center"/>
          </w:tcPr>
          <w:p w14:paraId="448C2FF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符合</w:t>
            </w:r>
          </w:p>
        </w:tc>
        <w:tc>
          <w:tcPr>
            <w:tcW w:w="727" w:type="dxa"/>
            <w:shd w:val="clear" w:color="auto" w:fill="auto"/>
            <w:vAlign w:val="center"/>
          </w:tcPr>
          <w:p w14:paraId="5691FB74">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3</w:t>
            </w:r>
          </w:p>
        </w:tc>
        <w:tc>
          <w:tcPr>
            <w:tcW w:w="809" w:type="dxa"/>
            <w:shd w:val="clear" w:color="auto" w:fill="auto"/>
            <w:vAlign w:val="center"/>
          </w:tcPr>
          <w:p w14:paraId="443ABA8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不符合不得分，不完善扣1.5分</w:t>
            </w:r>
          </w:p>
        </w:tc>
        <w:tc>
          <w:tcPr>
            <w:tcW w:w="633" w:type="dxa"/>
            <w:shd w:val="clear" w:color="auto" w:fill="auto"/>
            <w:vAlign w:val="center"/>
          </w:tcPr>
          <w:p w14:paraId="5756895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3</w:t>
            </w:r>
          </w:p>
        </w:tc>
      </w:tr>
      <w:tr w14:paraId="22482B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8" w:type="dxa"/>
            <w:vMerge w:val="continue"/>
            <w:shd w:val="clear" w:color="auto" w:fill="auto"/>
            <w:vAlign w:val="center"/>
          </w:tcPr>
          <w:p w14:paraId="6CF8595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p>
        </w:tc>
        <w:tc>
          <w:tcPr>
            <w:tcW w:w="3507" w:type="dxa"/>
            <w:shd w:val="clear" w:color="auto" w:fill="auto"/>
            <w:vAlign w:val="center"/>
          </w:tcPr>
          <w:p w14:paraId="06C982E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3.7 露天矿户外安装的电气设备应采用户外型电气设备；室外配电装置的裸露导体应有安全防护，当电气设备外绝缘体最低部位距地小于2500mm时，应装设固定遮栏；高压设备周围应设置围栏；露天或半露天变电所的变压器四周应设高度不低于1.8m的固定围栏或围墙。</w:t>
            </w:r>
          </w:p>
        </w:tc>
        <w:tc>
          <w:tcPr>
            <w:tcW w:w="1080" w:type="dxa"/>
            <w:shd w:val="clear" w:color="auto" w:fill="auto"/>
            <w:vAlign w:val="center"/>
          </w:tcPr>
          <w:p w14:paraId="52944278">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GB16423-2020</w:t>
            </w:r>
          </w:p>
          <w:p w14:paraId="3496849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5.6.1.7</w:t>
            </w:r>
          </w:p>
        </w:tc>
        <w:tc>
          <w:tcPr>
            <w:tcW w:w="840" w:type="dxa"/>
            <w:shd w:val="clear" w:color="auto" w:fill="auto"/>
            <w:vAlign w:val="center"/>
          </w:tcPr>
          <w:p w14:paraId="3CAC10E4">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现场检查</w:t>
            </w:r>
          </w:p>
        </w:tc>
        <w:tc>
          <w:tcPr>
            <w:tcW w:w="734" w:type="dxa"/>
            <w:shd w:val="clear" w:color="auto" w:fill="auto"/>
            <w:vAlign w:val="center"/>
          </w:tcPr>
          <w:p w14:paraId="5897A76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符合</w:t>
            </w:r>
          </w:p>
        </w:tc>
        <w:tc>
          <w:tcPr>
            <w:tcW w:w="727" w:type="dxa"/>
            <w:shd w:val="clear" w:color="auto" w:fill="auto"/>
            <w:vAlign w:val="center"/>
          </w:tcPr>
          <w:p w14:paraId="5BB0B81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3</w:t>
            </w:r>
          </w:p>
        </w:tc>
        <w:tc>
          <w:tcPr>
            <w:tcW w:w="809" w:type="dxa"/>
            <w:shd w:val="clear" w:color="auto" w:fill="auto"/>
            <w:vAlign w:val="center"/>
          </w:tcPr>
          <w:p w14:paraId="2D5A2EF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不符合不得分，不完善扣1.5分</w:t>
            </w:r>
          </w:p>
        </w:tc>
        <w:tc>
          <w:tcPr>
            <w:tcW w:w="633" w:type="dxa"/>
            <w:shd w:val="clear" w:color="auto" w:fill="auto"/>
            <w:vAlign w:val="center"/>
          </w:tcPr>
          <w:p w14:paraId="024CBBF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3</w:t>
            </w:r>
          </w:p>
        </w:tc>
      </w:tr>
      <w:tr w14:paraId="425BFC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8" w:type="dxa"/>
            <w:vMerge w:val="restart"/>
            <w:shd w:val="clear" w:color="auto" w:fill="auto"/>
            <w:vAlign w:val="center"/>
          </w:tcPr>
          <w:p w14:paraId="2B2E203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3. 防雷与接地</w:t>
            </w:r>
          </w:p>
        </w:tc>
        <w:tc>
          <w:tcPr>
            <w:tcW w:w="3507" w:type="dxa"/>
            <w:shd w:val="clear" w:color="auto" w:fill="auto"/>
            <w:vAlign w:val="center"/>
          </w:tcPr>
          <w:p w14:paraId="0EF3431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3</w:t>
            </w:r>
            <w:r>
              <w:rPr>
                <w:rFonts w:hint="default" w:ascii="Times New Roman" w:hAnsi="Times New Roman" w:eastAsia="宋体" w:cs="Times New Roman"/>
                <w:color w:val="auto"/>
                <w:kern w:val="2"/>
                <w:sz w:val="21"/>
                <w:szCs w:val="21"/>
                <w:vertAlign w:val="baseline"/>
                <w:lang w:val="en-US" w:eastAsia="zh-CN" w:bidi="ar-SA"/>
              </w:rPr>
              <w:t>.1 露天采场、排土场的架空供电线路上设置开关设备时，应符合下列规定：1、环形或半环形线路的出口和联络处设置分段开关；</w:t>
            </w:r>
          </w:p>
          <w:p w14:paraId="7E55DE0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2、横跨线或纵架线与环形、半环形线或其它地面固定干线连接处设置开关；</w:t>
            </w:r>
          </w:p>
          <w:p w14:paraId="57A055D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3、高压电气设备或移动式变电站与横跨线或纵架线连接处设置开头；</w:t>
            </w:r>
          </w:p>
          <w:p w14:paraId="7758948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4、移动式高压电力设备的供电线路设置具有单相接地保护的开关设备。</w:t>
            </w:r>
          </w:p>
        </w:tc>
        <w:tc>
          <w:tcPr>
            <w:tcW w:w="1080" w:type="dxa"/>
            <w:shd w:val="clear" w:color="auto" w:fill="auto"/>
            <w:vAlign w:val="center"/>
          </w:tcPr>
          <w:p w14:paraId="00825A21">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GB16423-2020</w:t>
            </w:r>
          </w:p>
          <w:p w14:paraId="573DFC80">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5.6.1.6</w:t>
            </w:r>
          </w:p>
        </w:tc>
        <w:tc>
          <w:tcPr>
            <w:tcW w:w="840" w:type="dxa"/>
            <w:shd w:val="clear" w:color="auto" w:fill="auto"/>
            <w:vAlign w:val="center"/>
          </w:tcPr>
          <w:p w14:paraId="60BBA13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现场检查</w:t>
            </w:r>
          </w:p>
        </w:tc>
        <w:tc>
          <w:tcPr>
            <w:tcW w:w="734" w:type="dxa"/>
            <w:shd w:val="clear" w:color="auto" w:fill="auto"/>
            <w:vAlign w:val="center"/>
          </w:tcPr>
          <w:p w14:paraId="17AA4C7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不涉及</w:t>
            </w:r>
          </w:p>
        </w:tc>
        <w:tc>
          <w:tcPr>
            <w:tcW w:w="727" w:type="dxa"/>
            <w:shd w:val="clear" w:color="auto" w:fill="auto"/>
            <w:vAlign w:val="center"/>
          </w:tcPr>
          <w:p w14:paraId="12FB700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4</w:t>
            </w:r>
          </w:p>
        </w:tc>
        <w:tc>
          <w:tcPr>
            <w:tcW w:w="809" w:type="dxa"/>
            <w:shd w:val="clear" w:color="auto" w:fill="auto"/>
            <w:vAlign w:val="center"/>
          </w:tcPr>
          <w:p w14:paraId="2E959B40">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1项不符合扣1分</w:t>
            </w:r>
          </w:p>
        </w:tc>
        <w:tc>
          <w:tcPr>
            <w:tcW w:w="633" w:type="dxa"/>
            <w:shd w:val="clear" w:color="auto" w:fill="auto"/>
            <w:vAlign w:val="center"/>
          </w:tcPr>
          <w:p w14:paraId="27CDE300">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w:t>
            </w:r>
          </w:p>
        </w:tc>
      </w:tr>
      <w:tr w14:paraId="4523E2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8" w:type="dxa"/>
            <w:vMerge w:val="continue"/>
            <w:shd w:val="clear" w:color="auto" w:fill="auto"/>
            <w:vAlign w:val="center"/>
          </w:tcPr>
          <w:p w14:paraId="4E069DA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p>
        </w:tc>
        <w:tc>
          <w:tcPr>
            <w:tcW w:w="3507" w:type="dxa"/>
            <w:shd w:val="clear" w:color="auto" w:fill="auto"/>
            <w:vAlign w:val="center"/>
          </w:tcPr>
          <w:p w14:paraId="5975076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3</w:t>
            </w:r>
            <w:r>
              <w:rPr>
                <w:rFonts w:hint="default" w:ascii="Times New Roman" w:hAnsi="Times New Roman" w:eastAsia="宋体" w:cs="Times New Roman"/>
                <w:color w:val="auto"/>
                <w:kern w:val="2"/>
                <w:sz w:val="21"/>
                <w:szCs w:val="21"/>
                <w:vertAlign w:val="baseline"/>
                <w:lang w:val="en-US" w:eastAsia="zh-CN" w:bidi="ar-SA"/>
              </w:rPr>
              <w:t>.2 采场架空线路的下列位置应装设避雷装置：</w:t>
            </w:r>
          </w:p>
          <w:p w14:paraId="1AE4FA8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1、采场供电线路或纵架线的连接处；</w:t>
            </w:r>
          </w:p>
          <w:p w14:paraId="3A2802D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2、多雷地区的高压设备进线电缆与横跨线或纵架线的连接处；</w:t>
            </w:r>
          </w:p>
          <w:p w14:paraId="7CCCE184">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3、排土场高压设备进线电缆与架空线的连接处。</w:t>
            </w:r>
          </w:p>
        </w:tc>
        <w:tc>
          <w:tcPr>
            <w:tcW w:w="1080" w:type="dxa"/>
            <w:shd w:val="clear" w:color="auto" w:fill="auto"/>
            <w:vAlign w:val="center"/>
          </w:tcPr>
          <w:p w14:paraId="22279F41">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GB16423-2020</w:t>
            </w:r>
          </w:p>
          <w:p w14:paraId="1AE1DDA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5.6.4.1</w:t>
            </w:r>
          </w:p>
        </w:tc>
        <w:tc>
          <w:tcPr>
            <w:tcW w:w="840" w:type="dxa"/>
            <w:shd w:val="clear" w:color="auto" w:fill="auto"/>
            <w:vAlign w:val="center"/>
          </w:tcPr>
          <w:p w14:paraId="2A39CCC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现场检查</w:t>
            </w:r>
          </w:p>
        </w:tc>
        <w:tc>
          <w:tcPr>
            <w:tcW w:w="734" w:type="dxa"/>
            <w:shd w:val="clear" w:color="auto" w:fill="auto"/>
            <w:vAlign w:val="center"/>
          </w:tcPr>
          <w:p w14:paraId="7C34C73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不涉及</w:t>
            </w:r>
          </w:p>
        </w:tc>
        <w:tc>
          <w:tcPr>
            <w:tcW w:w="727" w:type="dxa"/>
            <w:shd w:val="clear" w:color="auto" w:fill="auto"/>
            <w:vAlign w:val="center"/>
          </w:tcPr>
          <w:p w14:paraId="15A6C46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3</w:t>
            </w:r>
          </w:p>
        </w:tc>
        <w:tc>
          <w:tcPr>
            <w:tcW w:w="809" w:type="dxa"/>
            <w:shd w:val="clear" w:color="auto" w:fill="auto"/>
            <w:vAlign w:val="center"/>
          </w:tcPr>
          <w:p w14:paraId="3C4327F2">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1项不符合扣1分</w:t>
            </w:r>
          </w:p>
        </w:tc>
        <w:tc>
          <w:tcPr>
            <w:tcW w:w="633" w:type="dxa"/>
            <w:shd w:val="clear" w:color="auto" w:fill="auto"/>
            <w:vAlign w:val="center"/>
          </w:tcPr>
          <w:p w14:paraId="09D3DF9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w:t>
            </w:r>
          </w:p>
        </w:tc>
      </w:tr>
      <w:tr w14:paraId="1C2C99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8" w:type="dxa"/>
            <w:vMerge w:val="continue"/>
            <w:shd w:val="clear" w:color="auto" w:fill="auto"/>
            <w:vAlign w:val="center"/>
          </w:tcPr>
          <w:p w14:paraId="5CC62420">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p>
        </w:tc>
        <w:tc>
          <w:tcPr>
            <w:tcW w:w="3507" w:type="dxa"/>
            <w:shd w:val="clear" w:color="auto" w:fill="auto"/>
            <w:vAlign w:val="center"/>
          </w:tcPr>
          <w:p w14:paraId="57B7AF9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3</w:t>
            </w:r>
            <w:r>
              <w:rPr>
                <w:rFonts w:hint="default" w:ascii="Times New Roman" w:hAnsi="Times New Roman" w:eastAsia="宋体" w:cs="Times New Roman"/>
                <w:color w:val="auto"/>
                <w:kern w:val="2"/>
                <w:sz w:val="21"/>
                <w:szCs w:val="21"/>
                <w:vertAlign w:val="baseline"/>
                <w:lang w:val="en-US" w:eastAsia="zh-CN" w:bidi="ar-SA"/>
              </w:rPr>
              <w:t>.3 地面牵引网的下列位置应装设避雷装置：</w:t>
            </w:r>
          </w:p>
          <w:p w14:paraId="7398A4F2">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1、馈电线与接触线连接处；</w:t>
            </w:r>
          </w:p>
          <w:p w14:paraId="7596ADE2">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2、机车进口处；</w:t>
            </w:r>
          </w:p>
          <w:p w14:paraId="3F4DAD4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3、运输平硐口；</w:t>
            </w:r>
          </w:p>
          <w:p w14:paraId="05D1E25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4、线路上每个独立区段内。</w:t>
            </w:r>
          </w:p>
        </w:tc>
        <w:tc>
          <w:tcPr>
            <w:tcW w:w="1080" w:type="dxa"/>
            <w:shd w:val="clear" w:color="auto" w:fill="auto"/>
            <w:vAlign w:val="center"/>
          </w:tcPr>
          <w:p w14:paraId="7D2FEBBB">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GB16423-2020</w:t>
            </w:r>
          </w:p>
          <w:p w14:paraId="7780D45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5.6.4.2</w:t>
            </w:r>
          </w:p>
        </w:tc>
        <w:tc>
          <w:tcPr>
            <w:tcW w:w="840" w:type="dxa"/>
            <w:shd w:val="clear" w:color="auto" w:fill="auto"/>
            <w:vAlign w:val="center"/>
          </w:tcPr>
          <w:p w14:paraId="4D8694B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现场检查</w:t>
            </w:r>
          </w:p>
        </w:tc>
        <w:tc>
          <w:tcPr>
            <w:tcW w:w="734" w:type="dxa"/>
            <w:shd w:val="clear" w:color="auto" w:fill="auto"/>
            <w:vAlign w:val="center"/>
          </w:tcPr>
          <w:p w14:paraId="01AD6060">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符合</w:t>
            </w:r>
          </w:p>
        </w:tc>
        <w:tc>
          <w:tcPr>
            <w:tcW w:w="727" w:type="dxa"/>
            <w:shd w:val="clear" w:color="auto" w:fill="auto"/>
            <w:vAlign w:val="center"/>
          </w:tcPr>
          <w:p w14:paraId="1AAB669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4</w:t>
            </w:r>
          </w:p>
        </w:tc>
        <w:tc>
          <w:tcPr>
            <w:tcW w:w="809" w:type="dxa"/>
            <w:shd w:val="clear" w:color="auto" w:fill="auto"/>
            <w:vAlign w:val="center"/>
          </w:tcPr>
          <w:p w14:paraId="3010974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val="en-US" w:eastAsia="zh-CN" w:bidi="ar-SA"/>
              </w:rPr>
              <w:t>1项不符合扣1分</w:t>
            </w:r>
          </w:p>
        </w:tc>
        <w:tc>
          <w:tcPr>
            <w:tcW w:w="633" w:type="dxa"/>
            <w:shd w:val="clear" w:color="auto" w:fill="auto"/>
            <w:vAlign w:val="center"/>
          </w:tcPr>
          <w:p w14:paraId="3550627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4</w:t>
            </w:r>
          </w:p>
        </w:tc>
      </w:tr>
      <w:tr w14:paraId="576A86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8" w:type="dxa"/>
            <w:vMerge w:val="continue"/>
            <w:shd w:val="clear" w:color="auto" w:fill="auto"/>
            <w:vAlign w:val="center"/>
          </w:tcPr>
          <w:p w14:paraId="6194CB0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p>
        </w:tc>
        <w:tc>
          <w:tcPr>
            <w:tcW w:w="3507" w:type="dxa"/>
            <w:shd w:val="clear" w:color="auto" w:fill="auto"/>
            <w:vAlign w:val="center"/>
          </w:tcPr>
          <w:p w14:paraId="2848773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3.4 地面直流牵引变电所母线上应装设直流避雷装置；750v及以上或多雷地区的地面牵引变电所，应在每回出线装设直流避雷装置。</w:t>
            </w:r>
          </w:p>
        </w:tc>
        <w:tc>
          <w:tcPr>
            <w:tcW w:w="1080" w:type="dxa"/>
            <w:shd w:val="clear" w:color="auto" w:fill="auto"/>
            <w:vAlign w:val="center"/>
          </w:tcPr>
          <w:p w14:paraId="246449CC">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GB16423-2020</w:t>
            </w:r>
          </w:p>
          <w:p w14:paraId="225539A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5.6.4.3</w:t>
            </w:r>
          </w:p>
        </w:tc>
        <w:tc>
          <w:tcPr>
            <w:tcW w:w="840" w:type="dxa"/>
            <w:shd w:val="clear" w:color="auto" w:fill="auto"/>
            <w:vAlign w:val="center"/>
          </w:tcPr>
          <w:p w14:paraId="4ACCB292">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现场检查</w:t>
            </w:r>
          </w:p>
        </w:tc>
        <w:tc>
          <w:tcPr>
            <w:tcW w:w="734" w:type="dxa"/>
            <w:shd w:val="clear" w:color="auto" w:fill="auto"/>
            <w:vAlign w:val="center"/>
          </w:tcPr>
          <w:p w14:paraId="4BE9385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符合</w:t>
            </w:r>
          </w:p>
        </w:tc>
        <w:tc>
          <w:tcPr>
            <w:tcW w:w="727" w:type="dxa"/>
            <w:shd w:val="clear" w:color="auto" w:fill="auto"/>
            <w:vAlign w:val="center"/>
          </w:tcPr>
          <w:p w14:paraId="0876390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3</w:t>
            </w:r>
          </w:p>
        </w:tc>
        <w:tc>
          <w:tcPr>
            <w:tcW w:w="809" w:type="dxa"/>
            <w:shd w:val="clear" w:color="auto" w:fill="auto"/>
            <w:vAlign w:val="center"/>
          </w:tcPr>
          <w:p w14:paraId="0931324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val="en-US" w:eastAsia="zh-CN" w:bidi="ar-SA"/>
              </w:rPr>
              <w:t>不符合</w:t>
            </w:r>
            <w:r>
              <w:rPr>
                <w:rFonts w:hint="eastAsia" w:cs="Times New Roman"/>
                <w:color w:val="auto"/>
                <w:kern w:val="2"/>
                <w:sz w:val="21"/>
                <w:szCs w:val="21"/>
                <w:vertAlign w:val="baseline"/>
                <w:lang w:val="en-US" w:eastAsia="zh-CN" w:bidi="ar-SA"/>
              </w:rPr>
              <w:t>不得分不完善扣1.5</w:t>
            </w:r>
          </w:p>
        </w:tc>
        <w:tc>
          <w:tcPr>
            <w:tcW w:w="633" w:type="dxa"/>
            <w:shd w:val="clear" w:color="auto" w:fill="auto"/>
            <w:vAlign w:val="center"/>
          </w:tcPr>
          <w:p w14:paraId="2B8FC9F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3</w:t>
            </w:r>
          </w:p>
        </w:tc>
      </w:tr>
      <w:tr w14:paraId="0E3F5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8" w:type="dxa"/>
            <w:vMerge w:val="continue"/>
            <w:shd w:val="clear" w:color="auto" w:fill="auto"/>
            <w:vAlign w:val="center"/>
          </w:tcPr>
          <w:p w14:paraId="1FFC00D0">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p>
        </w:tc>
        <w:tc>
          <w:tcPr>
            <w:tcW w:w="3507" w:type="dxa"/>
            <w:shd w:val="clear" w:color="auto" w:fill="auto"/>
            <w:vAlign w:val="center"/>
          </w:tcPr>
          <w:p w14:paraId="46DF3A0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3</w:t>
            </w:r>
            <w:r>
              <w:rPr>
                <w:rFonts w:hint="default" w:ascii="Times New Roman" w:hAnsi="Times New Roman" w:eastAsia="宋体" w:cs="Times New Roman"/>
                <w:color w:val="auto"/>
                <w:kern w:val="2"/>
                <w:sz w:val="21"/>
                <w:szCs w:val="21"/>
                <w:vertAlign w:val="baseline"/>
                <w:lang w:val="en-US" w:eastAsia="zh-CN" w:bidi="ar-SA"/>
              </w:rPr>
              <w:t>.</w:t>
            </w:r>
            <w:r>
              <w:rPr>
                <w:rFonts w:hint="eastAsia" w:cs="Times New Roman"/>
                <w:color w:val="auto"/>
                <w:kern w:val="2"/>
                <w:sz w:val="21"/>
                <w:szCs w:val="21"/>
                <w:vertAlign w:val="baseline"/>
                <w:lang w:val="en-US" w:eastAsia="zh-CN" w:bidi="ar-SA"/>
              </w:rPr>
              <w:t>5</w:t>
            </w:r>
            <w:r>
              <w:rPr>
                <w:rFonts w:hint="default" w:ascii="Times New Roman" w:hAnsi="Times New Roman" w:eastAsia="宋体" w:cs="Times New Roman"/>
                <w:color w:val="auto"/>
                <w:kern w:val="2"/>
                <w:sz w:val="21"/>
                <w:szCs w:val="21"/>
                <w:vertAlign w:val="baseline"/>
                <w:lang w:val="en-US" w:eastAsia="zh-CN" w:bidi="ar-SA"/>
              </w:rPr>
              <w:t xml:space="preserve"> 主接地极的设置应符合下列规定：</w:t>
            </w:r>
          </w:p>
          <w:p w14:paraId="25E61E6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1、采矿场的主接地极不应少于2组，排废场主接地极可设1组；</w:t>
            </w:r>
          </w:p>
          <w:p w14:paraId="3965510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2、主接地极宜设在供电线路附近或其他土壤电阻率低的地方；</w:t>
            </w:r>
          </w:p>
          <w:p w14:paraId="5BD21AA2">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3、有2组及以上主接地极时，当任一组主接地断开后，在架空接地线上任一点所测得的对地电阻值不应大于4Ω,移动式设备与架空接地线之间的接地线电阻值不应大于1Ω。</w:t>
            </w:r>
          </w:p>
        </w:tc>
        <w:tc>
          <w:tcPr>
            <w:tcW w:w="1080" w:type="dxa"/>
            <w:shd w:val="clear" w:color="auto" w:fill="auto"/>
            <w:vAlign w:val="center"/>
          </w:tcPr>
          <w:p w14:paraId="1DD3125B">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GB50070-2020</w:t>
            </w:r>
          </w:p>
          <w:p w14:paraId="3947B09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5.0.14</w:t>
            </w:r>
          </w:p>
        </w:tc>
        <w:tc>
          <w:tcPr>
            <w:tcW w:w="840" w:type="dxa"/>
            <w:shd w:val="clear" w:color="auto" w:fill="auto"/>
            <w:vAlign w:val="center"/>
          </w:tcPr>
          <w:p w14:paraId="44F6E822">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查看资料，生产现场</w:t>
            </w:r>
          </w:p>
        </w:tc>
        <w:tc>
          <w:tcPr>
            <w:tcW w:w="734" w:type="dxa"/>
            <w:shd w:val="clear" w:color="auto" w:fill="auto"/>
            <w:vAlign w:val="center"/>
          </w:tcPr>
          <w:p w14:paraId="78AF423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符合</w:t>
            </w:r>
          </w:p>
        </w:tc>
        <w:tc>
          <w:tcPr>
            <w:tcW w:w="727" w:type="dxa"/>
            <w:shd w:val="clear" w:color="auto" w:fill="auto"/>
            <w:vAlign w:val="center"/>
          </w:tcPr>
          <w:p w14:paraId="23759B8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6</w:t>
            </w:r>
          </w:p>
        </w:tc>
        <w:tc>
          <w:tcPr>
            <w:tcW w:w="809" w:type="dxa"/>
            <w:shd w:val="clear" w:color="auto" w:fill="auto"/>
            <w:vAlign w:val="center"/>
          </w:tcPr>
          <w:p w14:paraId="4601B802">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1项不符合扣2分</w:t>
            </w:r>
          </w:p>
        </w:tc>
        <w:tc>
          <w:tcPr>
            <w:tcW w:w="633" w:type="dxa"/>
            <w:shd w:val="clear" w:color="auto" w:fill="auto"/>
            <w:vAlign w:val="center"/>
          </w:tcPr>
          <w:p w14:paraId="1B3DD5A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6</w:t>
            </w:r>
          </w:p>
        </w:tc>
      </w:tr>
      <w:tr w14:paraId="43E2C7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8" w:type="dxa"/>
            <w:vMerge w:val="continue"/>
            <w:shd w:val="clear" w:color="auto" w:fill="auto"/>
            <w:vAlign w:val="center"/>
          </w:tcPr>
          <w:p w14:paraId="7805C01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p>
        </w:tc>
        <w:tc>
          <w:tcPr>
            <w:tcW w:w="3507" w:type="dxa"/>
            <w:shd w:val="clear" w:color="auto" w:fill="auto"/>
            <w:vAlign w:val="center"/>
          </w:tcPr>
          <w:p w14:paraId="53D03C7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3</w:t>
            </w:r>
            <w:r>
              <w:rPr>
                <w:rFonts w:hint="eastAsia" w:ascii="Times New Roman" w:hAnsi="Times New Roman" w:eastAsia="宋体" w:cs="Times New Roman"/>
                <w:color w:val="auto"/>
                <w:kern w:val="2"/>
                <w:sz w:val="21"/>
                <w:szCs w:val="21"/>
                <w:vertAlign w:val="baseline"/>
                <w:lang w:val="en-US" w:eastAsia="zh-CN" w:bidi="ar-SA"/>
              </w:rPr>
              <w:t>.</w:t>
            </w:r>
            <w:r>
              <w:rPr>
                <w:rFonts w:hint="eastAsia" w:cs="Times New Roman"/>
                <w:color w:val="auto"/>
                <w:kern w:val="2"/>
                <w:sz w:val="21"/>
                <w:szCs w:val="21"/>
                <w:vertAlign w:val="baseline"/>
                <w:lang w:val="en-US" w:eastAsia="zh-CN" w:bidi="ar-SA"/>
              </w:rPr>
              <w:t>6</w:t>
            </w:r>
            <w:r>
              <w:rPr>
                <w:rFonts w:hint="eastAsia" w:ascii="Times New Roman" w:hAnsi="Times New Roman" w:eastAsia="宋体" w:cs="Times New Roman"/>
                <w:color w:val="auto"/>
                <w:kern w:val="2"/>
                <w:sz w:val="21"/>
                <w:szCs w:val="21"/>
                <w:vertAlign w:val="baseline"/>
                <w:lang w:val="en-US" w:eastAsia="zh-CN" w:bidi="ar-SA"/>
              </w:rPr>
              <w:t xml:space="preserve"> 接地电阻应每年测定1次，测定工作应在该地区最干燥、地下水位最低的季节进行。</w:t>
            </w:r>
          </w:p>
        </w:tc>
        <w:tc>
          <w:tcPr>
            <w:tcW w:w="1080" w:type="dxa"/>
            <w:shd w:val="clear" w:color="auto" w:fill="auto"/>
            <w:vAlign w:val="center"/>
          </w:tcPr>
          <w:p w14:paraId="6A42C205">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GB16423-2020</w:t>
            </w:r>
          </w:p>
          <w:p w14:paraId="676268A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5.6.5.1</w:t>
            </w:r>
          </w:p>
        </w:tc>
        <w:tc>
          <w:tcPr>
            <w:tcW w:w="840" w:type="dxa"/>
            <w:shd w:val="clear" w:color="auto" w:fill="auto"/>
            <w:vAlign w:val="center"/>
          </w:tcPr>
          <w:p w14:paraId="1F69058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查阅检测报告</w:t>
            </w:r>
          </w:p>
        </w:tc>
        <w:tc>
          <w:tcPr>
            <w:tcW w:w="734" w:type="dxa"/>
            <w:shd w:val="clear" w:color="auto" w:fill="auto"/>
            <w:vAlign w:val="center"/>
          </w:tcPr>
          <w:p w14:paraId="3015413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符合</w:t>
            </w:r>
          </w:p>
        </w:tc>
        <w:tc>
          <w:tcPr>
            <w:tcW w:w="727" w:type="dxa"/>
            <w:shd w:val="clear" w:color="auto" w:fill="auto"/>
            <w:vAlign w:val="center"/>
          </w:tcPr>
          <w:p w14:paraId="3B17B390">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2</w:t>
            </w:r>
          </w:p>
        </w:tc>
        <w:tc>
          <w:tcPr>
            <w:tcW w:w="809" w:type="dxa"/>
            <w:shd w:val="clear" w:color="auto" w:fill="auto"/>
            <w:vAlign w:val="center"/>
          </w:tcPr>
          <w:p w14:paraId="3B04D71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未检测不得分</w:t>
            </w:r>
          </w:p>
        </w:tc>
        <w:tc>
          <w:tcPr>
            <w:tcW w:w="633" w:type="dxa"/>
            <w:shd w:val="clear" w:color="auto" w:fill="auto"/>
            <w:vAlign w:val="center"/>
          </w:tcPr>
          <w:p w14:paraId="5264BD3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2</w:t>
            </w:r>
          </w:p>
        </w:tc>
      </w:tr>
      <w:tr w14:paraId="409496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8" w:type="dxa"/>
            <w:vMerge w:val="restart"/>
            <w:shd w:val="clear" w:color="auto" w:fill="auto"/>
            <w:vAlign w:val="center"/>
          </w:tcPr>
          <w:p w14:paraId="031E172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4. 照明</w:t>
            </w:r>
          </w:p>
        </w:tc>
        <w:tc>
          <w:tcPr>
            <w:tcW w:w="3507" w:type="dxa"/>
            <w:shd w:val="clear" w:color="auto" w:fill="auto"/>
            <w:vAlign w:val="center"/>
          </w:tcPr>
          <w:p w14:paraId="70BB5B3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4</w:t>
            </w:r>
            <w:r>
              <w:rPr>
                <w:rFonts w:hint="default" w:ascii="Times New Roman" w:hAnsi="Times New Roman" w:eastAsia="宋体" w:cs="Times New Roman"/>
                <w:color w:val="auto"/>
                <w:kern w:val="2"/>
                <w:sz w:val="21"/>
                <w:szCs w:val="21"/>
                <w:vertAlign w:val="baseline"/>
                <w:lang w:val="en-US" w:eastAsia="zh-CN" w:bidi="ar-SA"/>
              </w:rPr>
              <w:t>.1 夜间工作的采矿场和排废场，在下列地点应设置照明</w:t>
            </w:r>
            <w:r>
              <w:rPr>
                <w:rFonts w:hint="eastAsia" w:cs="Times New Roman"/>
                <w:color w:val="auto"/>
                <w:kern w:val="2"/>
                <w:sz w:val="21"/>
                <w:szCs w:val="21"/>
                <w:vertAlign w:val="baseline"/>
                <w:lang w:val="en-US" w:eastAsia="zh-CN" w:bidi="ar-SA"/>
              </w:rPr>
              <w:t>：</w:t>
            </w:r>
          </w:p>
          <w:p w14:paraId="10D7AA0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1、凿岩机、移动式或固定式空气压缩机和水泵的工作地点；</w:t>
            </w:r>
          </w:p>
          <w:p w14:paraId="1E6A895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2、斜坡卷扬机道、人行梯和人行道；</w:t>
            </w:r>
          </w:p>
          <w:p w14:paraId="40A5AA4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3、汽车运输的装卸车处、人工装卸车地点的排废场、卸车线；</w:t>
            </w:r>
          </w:p>
          <w:p w14:paraId="2A60BAC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4、调车站、会让站。</w:t>
            </w:r>
          </w:p>
        </w:tc>
        <w:tc>
          <w:tcPr>
            <w:tcW w:w="1080" w:type="dxa"/>
            <w:shd w:val="clear" w:color="auto" w:fill="auto"/>
            <w:vAlign w:val="center"/>
          </w:tcPr>
          <w:p w14:paraId="4E61BA7F">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GB50070-2020</w:t>
            </w:r>
          </w:p>
          <w:p w14:paraId="230D6C7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5.0.20</w:t>
            </w:r>
          </w:p>
        </w:tc>
        <w:tc>
          <w:tcPr>
            <w:tcW w:w="840" w:type="dxa"/>
            <w:shd w:val="clear" w:color="auto" w:fill="auto"/>
            <w:vAlign w:val="center"/>
          </w:tcPr>
          <w:p w14:paraId="6D45501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查看资料、生产现场</w:t>
            </w:r>
          </w:p>
        </w:tc>
        <w:tc>
          <w:tcPr>
            <w:tcW w:w="734" w:type="dxa"/>
            <w:shd w:val="clear" w:color="auto" w:fill="auto"/>
            <w:vAlign w:val="center"/>
          </w:tcPr>
          <w:p w14:paraId="481B34F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企业当前为单班作业，目前不涉及夜间作业，采场设有太阳能照明灯</w:t>
            </w:r>
          </w:p>
        </w:tc>
        <w:tc>
          <w:tcPr>
            <w:tcW w:w="727" w:type="dxa"/>
            <w:shd w:val="clear" w:color="auto" w:fill="auto"/>
            <w:vAlign w:val="center"/>
          </w:tcPr>
          <w:p w14:paraId="0AFA0C4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8</w:t>
            </w:r>
          </w:p>
        </w:tc>
        <w:tc>
          <w:tcPr>
            <w:tcW w:w="809" w:type="dxa"/>
            <w:shd w:val="clear" w:color="auto" w:fill="auto"/>
            <w:vAlign w:val="center"/>
          </w:tcPr>
          <w:p w14:paraId="139D1EE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1项不符合扣2分</w:t>
            </w:r>
          </w:p>
        </w:tc>
        <w:tc>
          <w:tcPr>
            <w:tcW w:w="633" w:type="dxa"/>
            <w:shd w:val="clear" w:color="auto" w:fill="auto"/>
            <w:vAlign w:val="center"/>
          </w:tcPr>
          <w:p w14:paraId="48FB0E9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w:t>
            </w:r>
          </w:p>
        </w:tc>
      </w:tr>
      <w:tr w14:paraId="7EDD6D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8" w:type="dxa"/>
            <w:vMerge w:val="continue"/>
            <w:shd w:val="clear" w:color="auto" w:fill="auto"/>
            <w:vAlign w:val="center"/>
          </w:tcPr>
          <w:p w14:paraId="0492C09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p>
        </w:tc>
        <w:tc>
          <w:tcPr>
            <w:tcW w:w="3507" w:type="dxa"/>
            <w:shd w:val="clear" w:color="auto" w:fill="auto"/>
            <w:vAlign w:val="center"/>
          </w:tcPr>
          <w:p w14:paraId="58819194">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4</w:t>
            </w:r>
            <w:r>
              <w:rPr>
                <w:rFonts w:hint="default" w:ascii="Times New Roman" w:hAnsi="Times New Roman" w:eastAsia="宋体" w:cs="Times New Roman"/>
                <w:color w:val="auto"/>
                <w:kern w:val="2"/>
                <w:sz w:val="21"/>
                <w:szCs w:val="21"/>
                <w:vertAlign w:val="baseline"/>
                <w:lang w:val="en-US" w:eastAsia="zh-CN" w:bidi="ar-SA"/>
              </w:rPr>
              <w:t>.2 照明电压应符合下列规定：</w:t>
            </w:r>
          </w:p>
          <w:p w14:paraId="441DF5B0">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1、固定式照明灯具，不高于220V；</w:t>
            </w:r>
          </w:p>
          <w:p w14:paraId="17095FD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2、行灯或移动式灯具，不高于36V，并经安全隔离变压器供电；</w:t>
            </w:r>
          </w:p>
          <w:p w14:paraId="52614DA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3、在金属容器内或潮湿地点作业时，不高于12V。</w:t>
            </w:r>
          </w:p>
        </w:tc>
        <w:tc>
          <w:tcPr>
            <w:tcW w:w="1080" w:type="dxa"/>
            <w:shd w:val="clear" w:color="auto" w:fill="auto"/>
            <w:vAlign w:val="center"/>
          </w:tcPr>
          <w:p w14:paraId="4AFF8E2A">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GB16423-2020</w:t>
            </w:r>
          </w:p>
          <w:p w14:paraId="214C60A4">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5.6.3.2</w:t>
            </w:r>
          </w:p>
        </w:tc>
        <w:tc>
          <w:tcPr>
            <w:tcW w:w="840" w:type="dxa"/>
            <w:shd w:val="clear" w:color="auto" w:fill="auto"/>
            <w:vAlign w:val="center"/>
          </w:tcPr>
          <w:p w14:paraId="0E09F27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现场检查</w:t>
            </w:r>
          </w:p>
        </w:tc>
        <w:tc>
          <w:tcPr>
            <w:tcW w:w="734" w:type="dxa"/>
            <w:shd w:val="clear" w:color="auto" w:fill="auto"/>
            <w:vAlign w:val="center"/>
          </w:tcPr>
          <w:p w14:paraId="7A62472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符合</w:t>
            </w:r>
          </w:p>
        </w:tc>
        <w:tc>
          <w:tcPr>
            <w:tcW w:w="727" w:type="dxa"/>
            <w:shd w:val="clear" w:color="auto" w:fill="auto"/>
            <w:vAlign w:val="center"/>
          </w:tcPr>
          <w:p w14:paraId="5E8CBCC4">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6</w:t>
            </w:r>
          </w:p>
        </w:tc>
        <w:tc>
          <w:tcPr>
            <w:tcW w:w="809" w:type="dxa"/>
            <w:shd w:val="clear" w:color="auto" w:fill="auto"/>
            <w:vAlign w:val="center"/>
          </w:tcPr>
          <w:p w14:paraId="5892183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val="en-US" w:eastAsia="zh-CN" w:bidi="ar-SA"/>
              </w:rPr>
              <w:t>1项不符合扣2分</w:t>
            </w:r>
          </w:p>
        </w:tc>
        <w:tc>
          <w:tcPr>
            <w:tcW w:w="633" w:type="dxa"/>
            <w:shd w:val="clear" w:color="auto" w:fill="auto"/>
            <w:vAlign w:val="center"/>
          </w:tcPr>
          <w:p w14:paraId="5594532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6</w:t>
            </w:r>
          </w:p>
        </w:tc>
      </w:tr>
      <w:tr w14:paraId="48E94A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8" w:type="dxa"/>
            <w:vMerge w:val="continue"/>
            <w:shd w:val="clear" w:color="auto" w:fill="auto"/>
            <w:vAlign w:val="center"/>
          </w:tcPr>
          <w:p w14:paraId="2B48791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p>
        </w:tc>
        <w:tc>
          <w:tcPr>
            <w:tcW w:w="3507" w:type="dxa"/>
            <w:shd w:val="clear" w:color="auto" w:fill="auto"/>
            <w:vAlign w:val="center"/>
          </w:tcPr>
          <w:p w14:paraId="4A37642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4</w:t>
            </w:r>
            <w:r>
              <w:rPr>
                <w:rFonts w:hint="default" w:ascii="Times New Roman" w:hAnsi="Times New Roman" w:eastAsia="宋体" w:cs="Times New Roman"/>
                <w:color w:val="auto"/>
                <w:kern w:val="2"/>
                <w:sz w:val="21"/>
                <w:szCs w:val="21"/>
                <w:vertAlign w:val="baseline"/>
                <w:lang w:val="en-US" w:eastAsia="zh-CN" w:bidi="ar-SA"/>
              </w:rPr>
              <w:t>.3 下列场所应设置应急照明：</w:t>
            </w:r>
          </w:p>
          <w:p w14:paraId="3760C21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1、变配电所；</w:t>
            </w:r>
          </w:p>
          <w:p w14:paraId="408D741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2、监控室、生产调度室、通信站和网络中心；</w:t>
            </w:r>
          </w:p>
          <w:p w14:paraId="480ABFB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3、矿山救护值班室。</w:t>
            </w:r>
          </w:p>
        </w:tc>
        <w:tc>
          <w:tcPr>
            <w:tcW w:w="1080" w:type="dxa"/>
            <w:shd w:val="clear" w:color="auto" w:fill="auto"/>
            <w:vAlign w:val="center"/>
          </w:tcPr>
          <w:p w14:paraId="0ADA2EC0">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GB16423-2020</w:t>
            </w:r>
          </w:p>
          <w:p w14:paraId="398F19B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5.6.3.3</w:t>
            </w:r>
          </w:p>
        </w:tc>
        <w:tc>
          <w:tcPr>
            <w:tcW w:w="840" w:type="dxa"/>
            <w:shd w:val="clear" w:color="auto" w:fill="auto"/>
            <w:vAlign w:val="center"/>
          </w:tcPr>
          <w:p w14:paraId="06C3BA82">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现场检查</w:t>
            </w:r>
          </w:p>
        </w:tc>
        <w:tc>
          <w:tcPr>
            <w:tcW w:w="734" w:type="dxa"/>
            <w:shd w:val="clear" w:color="auto" w:fill="auto"/>
            <w:vAlign w:val="center"/>
          </w:tcPr>
          <w:p w14:paraId="17D58930">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配电室未设应急照明</w:t>
            </w:r>
          </w:p>
        </w:tc>
        <w:tc>
          <w:tcPr>
            <w:tcW w:w="727" w:type="dxa"/>
            <w:shd w:val="clear" w:color="auto" w:fill="auto"/>
            <w:vAlign w:val="center"/>
          </w:tcPr>
          <w:p w14:paraId="6BEEAA6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6</w:t>
            </w:r>
          </w:p>
        </w:tc>
        <w:tc>
          <w:tcPr>
            <w:tcW w:w="809" w:type="dxa"/>
            <w:shd w:val="clear" w:color="auto" w:fill="auto"/>
            <w:vAlign w:val="center"/>
          </w:tcPr>
          <w:p w14:paraId="77C0CDC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val="en-US" w:eastAsia="zh-CN" w:bidi="ar-SA"/>
              </w:rPr>
              <w:t>1项不符合扣2分</w:t>
            </w:r>
          </w:p>
        </w:tc>
        <w:tc>
          <w:tcPr>
            <w:tcW w:w="633" w:type="dxa"/>
            <w:shd w:val="clear" w:color="auto" w:fill="auto"/>
            <w:vAlign w:val="center"/>
          </w:tcPr>
          <w:p w14:paraId="7EB57BA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4</w:t>
            </w:r>
          </w:p>
        </w:tc>
      </w:tr>
      <w:tr w14:paraId="1C10A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8" w:type="dxa"/>
            <w:vMerge w:val="continue"/>
            <w:shd w:val="clear" w:color="auto" w:fill="auto"/>
            <w:vAlign w:val="center"/>
          </w:tcPr>
          <w:p w14:paraId="3074BD6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p>
        </w:tc>
        <w:tc>
          <w:tcPr>
            <w:tcW w:w="3507" w:type="dxa"/>
            <w:shd w:val="clear" w:color="auto" w:fill="auto"/>
            <w:vAlign w:val="center"/>
          </w:tcPr>
          <w:p w14:paraId="36F8E25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4</w:t>
            </w:r>
            <w:r>
              <w:rPr>
                <w:rFonts w:hint="default" w:ascii="Times New Roman" w:hAnsi="Times New Roman" w:eastAsia="宋体" w:cs="Times New Roman"/>
                <w:color w:val="auto"/>
                <w:kern w:val="2"/>
                <w:sz w:val="21"/>
                <w:szCs w:val="21"/>
                <w:vertAlign w:val="baseline"/>
                <w:lang w:val="en-US" w:eastAsia="zh-CN" w:bidi="ar-SA"/>
              </w:rPr>
              <w:t>.4 移动式非架空照明线路应采用橡套软电缆。</w:t>
            </w:r>
          </w:p>
        </w:tc>
        <w:tc>
          <w:tcPr>
            <w:tcW w:w="1080" w:type="dxa"/>
            <w:shd w:val="clear" w:color="auto" w:fill="auto"/>
            <w:vAlign w:val="center"/>
          </w:tcPr>
          <w:p w14:paraId="25CE0DD6">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GB16423-2020</w:t>
            </w:r>
          </w:p>
          <w:p w14:paraId="350B322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5.6.3.4</w:t>
            </w:r>
          </w:p>
        </w:tc>
        <w:tc>
          <w:tcPr>
            <w:tcW w:w="840" w:type="dxa"/>
            <w:shd w:val="clear" w:color="auto" w:fill="auto"/>
            <w:vAlign w:val="center"/>
          </w:tcPr>
          <w:p w14:paraId="582A8570">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现场检查</w:t>
            </w:r>
          </w:p>
        </w:tc>
        <w:tc>
          <w:tcPr>
            <w:tcW w:w="734" w:type="dxa"/>
            <w:shd w:val="clear" w:color="auto" w:fill="auto"/>
            <w:vAlign w:val="center"/>
          </w:tcPr>
          <w:p w14:paraId="7D4EC6C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符合</w:t>
            </w:r>
          </w:p>
        </w:tc>
        <w:tc>
          <w:tcPr>
            <w:tcW w:w="727" w:type="dxa"/>
            <w:shd w:val="clear" w:color="auto" w:fill="auto"/>
            <w:vAlign w:val="center"/>
          </w:tcPr>
          <w:p w14:paraId="4FE7853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2</w:t>
            </w:r>
          </w:p>
        </w:tc>
        <w:tc>
          <w:tcPr>
            <w:tcW w:w="809" w:type="dxa"/>
            <w:shd w:val="clear" w:color="auto" w:fill="auto"/>
            <w:vAlign w:val="center"/>
          </w:tcPr>
          <w:p w14:paraId="06574D1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不符合不得分</w:t>
            </w:r>
          </w:p>
        </w:tc>
        <w:tc>
          <w:tcPr>
            <w:tcW w:w="633" w:type="dxa"/>
            <w:shd w:val="clear" w:color="auto" w:fill="auto"/>
            <w:vAlign w:val="center"/>
          </w:tcPr>
          <w:p w14:paraId="57AE2A4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2</w:t>
            </w:r>
          </w:p>
        </w:tc>
      </w:tr>
      <w:tr w14:paraId="54EF9E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8" w:type="dxa"/>
            <w:vMerge w:val="restart"/>
            <w:shd w:val="clear" w:color="auto" w:fill="auto"/>
            <w:vAlign w:val="center"/>
          </w:tcPr>
          <w:p w14:paraId="249B1F2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5. 运行检查和维修</w:t>
            </w:r>
          </w:p>
        </w:tc>
        <w:tc>
          <w:tcPr>
            <w:tcW w:w="3507" w:type="dxa"/>
            <w:shd w:val="clear" w:color="auto" w:fill="auto"/>
            <w:vAlign w:val="center"/>
          </w:tcPr>
          <w:p w14:paraId="6CFA7A0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5</w:t>
            </w:r>
            <w:r>
              <w:rPr>
                <w:rFonts w:hint="default" w:ascii="Times New Roman" w:hAnsi="Times New Roman" w:eastAsia="宋体" w:cs="Times New Roman"/>
                <w:color w:val="auto"/>
                <w:kern w:val="2"/>
                <w:sz w:val="21"/>
                <w:szCs w:val="21"/>
                <w:vertAlign w:val="baseline"/>
                <w:lang w:val="en-US" w:eastAsia="zh-CN" w:bidi="ar-SA"/>
              </w:rPr>
              <w:t>.1 矿山应建立电气作业安全制度，规定工作票、工作许可、监护、间断、转移和终结等工作程序。停电检修时，所有已切断的电源的开关把手均应加锁，并验电、放电、将线路接地，悬挂</w:t>
            </w:r>
            <w:r>
              <w:rPr>
                <w:rFonts w:hint="eastAsia" w:ascii="宋体" w:hAnsi="宋体" w:eastAsia="宋体" w:cs="宋体"/>
                <w:color w:val="auto"/>
                <w:kern w:val="2"/>
                <w:sz w:val="21"/>
                <w:szCs w:val="21"/>
                <w:vertAlign w:val="baseline"/>
                <w:lang w:val="en-US" w:eastAsia="zh-CN" w:bidi="ar-SA"/>
              </w:rPr>
              <w:t>“</w:t>
            </w:r>
            <w:r>
              <w:rPr>
                <w:rFonts w:hint="default" w:ascii="Times New Roman" w:hAnsi="Times New Roman" w:eastAsia="宋体" w:cs="Times New Roman"/>
                <w:color w:val="auto"/>
                <w:kern w:val="2"/>
                <w:sz w:val="21"/>
                <w:szCs w:val="21"/>
                <w:vertAlign w:val="baseline"/>
                <w:lang w:val="en-US" w:eastAsia="zh-CN" w:bidi="ar-SA"/>
              </w:rPr>
              <w:t>有人作业，禁止送电</w:t>
            </w:r>
            <w:r>
              <w:rPr>
                <w:rFonts w:hint="eastAsia" w:ascii="宋体" w:hAnsi="宋体" w:eastAsia="宋体" w:cs="宋体"/>
                <w:color w:val="auto"/>
                <w:kern w:val="2"/>
                <w:sz w:val="21"/>
                <w:szCs w:val="21"/>
                <w:vertAlign w:val="baseline"/>
                <w:lang w:val="en-US" w:eastAsia="zh-CN" w:bidi="ar-SA"/>
              </w:rPr>
              <w:t>”</w:t>
            </w:r>
            <w:r>
              <w:rPr>
                <w:rFonts w:hint="default" w:ascii="Times New Roman" w:hAnsi="Times New Roman" w:eastAsia="宋体" w:cs="Times New Roman"/>
                <w:color w:val="auto"/>
                <w:kern w:val="2"/>
                <w:sz w:val="21"/>
                <w:szCs w:val="21"/>
                <w:vertAlign w:val="baseline"/>
                <w:lang w:val="en-US" w:eastAsia="zh-CN" w:bidi="ar-SA"/>
              </w:rPr>
              <w:t>的警示牌。</w:t>
            </w:r>
          </w:p>
        </w:tc>
        <w:tc>
          <w:tcPr>
            <w:tcW w:w="1080" w:type="dxa"/>
            <w:shd w:val="clear" w:color="auto" w:fill="auto"/>
            <w:vAlign w:val="center"/>
          </w:tcPr>
          <w:p w14:paraId="3B53D37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val="en-US" w:eastAsia="zh-CN" w:bidi="ar-SA"/>
              </w:rPr>
              <w:t>GB16423-2020</w:t>
            </w:r>
          </w:p>
          <w:p w14:paraId="6ED02972">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val="en-US" w:eastAsia="zh-CN" w:bidi="ar-SA"/>
              </w:rPr>
              <w:t>5.6.5.1</w:t>
            </w:r>
          </w:p>
        </w:tc>
        <w:tc>
          <w:tcPr>
            <w:tcW w:w="840" w:type="dxa"/>
            <w:shd w:val="clear" w:color="auto" w:fill="auto"/>
            <w:vAlign w:val="center"/>
          </w:tcPr>
          <w:p w14:paraId="07AA1C42">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val="en-US" w:eastAsia="zh-CN" w:bidi="ar-SA"/>
              </w:rPr>
              <w:t>查阅制度</w:t>
            </w:r>
            <w:r>
              <w:rPr>
                <w:rFonts w:hint="eastAsia" w:cs="Times New Roman"/>
                <w:color w:val="auto"/>
                <w:kern w:val="2"/>
                <w:sz w:val="21"/>
                <w:szCs w:val="21"/>
                <w:vertAlign w:val="baseline"/>
                <w:lang w:val="en-US" w:eastAsia="zh-CN" w:bidi="ar-SA"/>
              </w:rPr>
              <w:t>现场检查</w:t>
            </w:r>
          </w:p>
        </w:tc>
        <w:tc>
          <w:tcPr>
            <w:tcW w:w="734" w:type="dxa"/>
            <w:shd w:val="clear" w:color="auto" w:fill="auto"/>
            <w:vAlign w:val="center"/>
          </w:tcPr>
          <w:p w14:paraId="06F9C68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未建立电气作业安全制度</w:t>
            </w:r>
          </w:p>
        </w:tc>
        <w:tc>
          <w:tcPr>
            <w:tcW w:w="727" w:type="dxa"/>
            <w:shd w:val="clear" w:color="auto" w:fill="auto"/>
            <w:vAlign w:val="center"/>
          </w:tcPr>
          <w:p w14:paraId="732E42A0">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4</w:t>
            </w:r>
          </w:p>
        </w:tc>
        <w:tc>
          <w:tcPr>
            <w:tcW w:w="809" w:type="dxa"/>
            <w:shd w:val="clear" w:color="auto" w:fill="auto"/>
            <w:vAlign w:val="center"/>
          </w:tcPr>
          <w:p w14:paraId="2CBBF33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val="en-US" w:eastAsia="zh-CN" w:bidi="ar-SA"/>
              </w:rPr>
              <w:t>不符合</w:t>
            </w:r>
            <w:r>
              <w:rPr>
                <w:rFonts w:hint="eastAsia" w:cs="Times New Roman"/>
                <w:color w:val="auto"/>
                <w:kern w:val="2"/>
                <w:sz w:val="21"/>
                <w:szCs w:val="21"/>
                <w:vertAlign w:val="baseline"/>
                <w:lang w:val="en-US" w:eastAsia="zh-CN" w:bidi="ar-SA"/>
              </w:rPr>
              <w:t>不得分不完善扣2分</w:t>
            </w:r>
          </w:p>
        </w:tc>
        <w:tc>
          <w:tcPr>
            <w:tcW w:w="633" w:type="dxa"/>
            <w:shd w:val="clear" w:color="auto" w:fill="auto"/>
            <w:vAlign w:val="center"/>
          </w:tcPr>
          <w:p w14:paraId="620C364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0</w:t>
            </w:r>
          </w:p>
        </w:tc>
      </w:tr>
      <w:tr w14:paraId="36005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8" w:type="dxa"/>
            <w:vMerge w:val="continue"/>
            <w:shd w:val="clear" w:color="auto" w:fill="auto"/>
            <w:vAlign w:val="center"/>
          </w:tcPr>
          <w:p w14:paraId="6D8B19F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p>
        </w:tc>
        <w:tc>
          <w:tcPr>
            <w:tcW w:w="3507" w:type="dxa"/>
            <w:shd w:val="clear" w:color="auto" w:fill="auto"/>
            <w:vAlign w:val="center"/>
          </w:tcPr>
          <w:p w14:paraId="700930D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5</w:t>
            </w:r>
            <w:r>
              <w:rPr>
                <w:rFonts w:hint="default" w:ascii="Times New Roman" w:hAnsi="Times New Roman" w:eastAsia="宋体" w:cs="Times New Roman"/>
                <w:color w:val="auto"/>
                <w:kern w:val="2"/>
                <w:sz w:val="21"/>
                <w:szCs w:val="21"/>
                <w:vertAlign w:val="baseline"/>
                <w:lang w:val="en-US" w:eastAsia="zh-CN" w:bidi="ar-SA"/>
              </w:rPr>
              <w:t>.2 电气室内的各种电气设备控制装置上应注明编号和用途，并有停送电标志；电气室入口应悬挂</w:t>
            </w:r>
            <w:r>
              <w:rPr>
                <w:rFonts w:hint="eastAsia" w:ascii="宋体" w:hAnsi="宋体" w:eastAsia="宋体" w:cs="宋体"/>
                <w:color w:val="auto"/>
                <w:kern w:val="2"/>
                <w:sz w:val="21"/>
                <w:szCs w:val="21"/>
                <w:vertAlign w:val="baseline"/>
                <w:lang w:val="en-US" w:eastAsia="zh-CN" w:bidi="ar-SA"/>
              </w:rPr>
              <w:t>“</w:t>
            </w:r>
            <w:r>
              <w:rPr>
                <w:rFonts w:hint="default" w:ascii="Times New Roman" w:hAnsi="Times New Roman" w:eastAsia="宋体" w:cs="Times New Roman"/>
                <w:color w:val="auto"/>
                <w:kern w:val="2"/>
                <w:sz w:val="21"/>
                <w:szCs w:val="21"/>
                <w:vertAlign w:val="baseline"/>
                <w:lang w:val="en-US" w:eastAsia="zh-CN" w:bidi="ar-SA"/>
              </w:rPr>
              <w:t>非工作人员禁止入内</w:t>
            </w:r>
            <w:r>
              <w:rPr>
                <w:rFonts w:hint="eastAsia" w:ascii="宋体" w:hAnsi="宋体" w:eastAsia="宋体" w:cs="宋体"/>
                <w:color w:val="auto"/>
                <w:kern w:val="2"/>
                <w:sz w:val="21"/>
                <w:szCs w:val="21"/>
                <w:vertAlign w:val="baseline"/>
                <w:lang w:val="en-US" w:eastAsia="zh-CN" w:bidi="ar-SA"/>
              </w:rPr>
              <w:t>”</w:t>
            </w:r>
            <w:r>
              <w:rPr>
                <w:rFonts w:hint="default" w:ascii="Times New Roman" w:hAnsi="Times New Roman" w:eastAsia="宋体" w:cs="Times New Roman"/>
                <w:color w:val="auto"/>
                <w:kern w:val="2"/>
                <w:sz w:val="21"/>
                <w:szCs w:val="21"/>
                <w:vertAlign w:val="baseline"/>
                <w:lang w:val="en-US" w:eastAsia="zh-CN" w:bidi="ar-SA"/>
              </w:rPr>
              <w:t>的标志牌，高压电气设备应悬挂</w:t>
            </w:r>
            <w:r>
              <w:rPr>
                <w:rFonts w:hint="eastAsia" w:ascii="宋体" w:hAnsi="宋体" w:eastAsia="宋体" w:cs="宋体"/>
                <w:color w:val="auto"/>
                <w:kern w:val="2"/>
                <w:sz w:val="21"/>
                <w:szCs w:val="21"/>
                <w:vertAlign w:val="baseline"/>
                <w:lang w:val="en-US" w:eastAsia="zh-CN" w:bidi="ar-SA"/>
              </w:rPr>
              <w:t>“</w:t>
            </w:r>
            <w:r>
              <w:rPr>
                <w:rFonts w:hint="default" w:ascii="Times New Roman" w:hAnsi="Times New Roman" w:eastAsia="宋体" w:cs="Times New Roman"/>
                <w:color w:val="auto"/>
                <w:kern w:val="2"/>
                <w:sz w:val="21"/>
                <w:szCs w:val="21"/>
                <w:vertAlign w:val="baseline"/>
                <w:lang w:val="en-US" w:eastAsia="zh-CN" w:bidi="ar-SA"/>
              </w:rPr>
              <w:t>高压危险</w:t>
            </w:r>
            <w:r>
              <w:rPr>
                <w:rFonts w:hint="eastAsia" w:ascii="宋体" w:hAnsi="宋体" w:eastAsia="宋体" w:cs="宋体"/>
                <w:color w:val="auto"/>
                <w:kern w:val="2"/>
                <w:sz w:val="21"/>
                <w:szCs w:val="21"/>
                <w:vertAlign w:val="baseline"/>
                <w:lang w:val="en-US" w:eastAsia="zh-CN" w:bidi="ar-SA"/>
              </w:rPr>
              <w:t>”</w:t>
            </w:r>
            <w:r>
              <w:rPr>
                <w:rFonts w:hint="default" w:ascii="Times New Roman" w:hAnsi="Times New Roman" w:eastAsia="宋体" w:cs="Times New Roman"/>
                <w:color w:val="auto"/>
                <w:kern w:val="2"/>
                <w:sz w:val="21"/>
                <w:szCs w:val="21"/>
                <w:vertAlign w:val="baseline"/>
                <w:lang w:val="en-US" w:eastAsia="zh-CN" w:bidi="ar-SA"/>
              </w:rPr>
              <w:t>的标志牌，并应有照明。</w:t>
            </w:r>
          </w:p>
        </w:tc>
        <w:tc>
          <w:tcPr>
            <w:tcW w:w="1080" w:type="dxa"/>
            <w:shd w:val="clear" w:color="auto" w:fill="auto"/>
            <w:vAlign w:val="center"/>
          </w:tcPr>
          <w:p w14:paraId="6132E58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val="en-US" w:eastAsia="zh-CN" w:bidi="ar-SA"/>
              </w:rPr>
              <w:t>GB16423-2020</w:t>
            </w:r>
          </w:p>
          <w:p w14:paraId="374741E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val="en-US" w:eastAsia="zh-CN" w:bidi="ar-SA"/>
              </w:rPr>
              <w:t>5.6.5.3</w:t>
            </w:r>
          </w:p>
        </w:tc>
        <w:tc>
          <w:tcPr>
            <w:tcW w:w="840" w:type="dxa"/>
            <w:shd w:val="clear" w:color="auto" w:fill="auto"/>
            <w:vAlign w:val="center"/>
          </w:tcPr>
          <w:p w14:paraId="0A3C737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现场检查</w:t>
            </w:r>
          </w:p>
        </w:tc>
        <w:tc>
          <w:tcPr>
            <w:tcW w:w="734" w:type="dxa"/>
            <w:shd w:val="clear" w:color="auto" w:fill="auto"/>
            <w:vAlign w:val="center"/>
          </w:tcPr>
          <w:p w14:paraId="71CCD19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符合</w:t>
            </w:r>
          </w:p>
        </w:tc>
        <w:tc>
          <w:tcPr>
            <w:tcW w:w="727" w:type="dxa"/>
            <w:shd w:val="clear" w:color="auto" w:fill="auto"/>
            <w:vAlign w:val="center"/>
          </w:tcPr>
          <w:p w14:paraId="469CFD3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4</w:t>
            </w:r>
          </w:p>
        </w:tc>
        <w:tc>
          <w:tcPr>
            <w:tcW w:w="809" w:type="dxa"/>
            <w:shd w:val="clear" w:color="auto" w:fill="auto"/>
            <w:vAlign w:val="center"/>
          </w:tcPr>
          <w:p w14:paraId="008B517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val="en-US" w:eastAsia="zh-CN" w:bidi="ar-SA"/>
              </w:rPr>
              <w:t>1项不符合扣</w:t>
            </w:r>
            <w:r>
              <w:rPr>
                <w:rFonts w:hint="eastAsia" w:cs="Times New Roman"/>
                <w:color w:val="auto"/>
                <w:kern w:val="2"/>
                <w:sz w:val="21"/>
                <w:szCs w:val="21"/>
                <w:vertAlign w:val="baseline"/>
                <w:lang w:val="en-US" w:eastAsia="zh-CN" w:bidi="ar-SA"/>
              </w:rPr>
              <w:t>2</w:t>
            </w:r>
            <w:r>
              <w:rPr>
                <w:rFonts w:hint="eastAsia" w:ascii="Times New Roman" w:hAnsi="Times New Roman" w:eastAsia="宋体" w:cs="Times New Roman"/>
                <w:color w:val="auto"/>
                <w:kern w:val="2"/>
                <w:sz w:val="21"/>
                <w:szCs w:val="21"/>
                <w:vertAlign w:val="baseline"/>
                <w:lang w:val="en-US" w:eastAsia="zh-CN" w:bidi="ar-SA"/>
              </w:rPr>
              <w:t>分</w:t>
            </w:r>
          </w:p>
        </w:tc>
        <w:tc>
          <w:tcPr>
            <w:tcW w:w="633" w:type="dxa"/>
            <w:shd w:val="clear" w:color="auto" w:fill="auto"/>
            <w:vAlign w:val="center"/>
          </w:tcPr>
          <w:p w14:paraId="491B652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4</w:t>
            </w:r>
          </w:p>
        </w:tc>
      </w:tr>
      <w:tr w14:paraId="3F920F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shd w:val="clear" w:color="auto" w:fill="auto"/>
            <w:vAlign w:val="center"/>
          </w:tcPr>
          <w:p w14:paraId="12EE0C9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小计</w:t>
            </w:r>
          </w:p>
        </w:tc>
        <w:tc>
          <w:tcPr>
            <w:tcW w:w="3507" w:type="dxa"/>
            <w:shd w:val="clear" w:color="auto" w:fill="auto"/>
            <w:vAlign w:val="center"/>
          </w:tcPr>
          <w:p w14:paraId="3915863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1"/>
                <w:vertAlign w:val="baseline"/>
                <w:lang w:val="en-US" w:eastAsia="zh-CN" w:bidi="ar-SA"/>
              </w:rPr>
            </w:pPr>
          </w:p>
        </w:tc>
        <w:tc>
          <w:tcPr>
            <w:tcW w:w="1080" w:type="dxa"/>
            <w:shd w:val="clear" w:color="auto" w:fill="auto"/>
            <w:vAlign w:val="center"/>
          </w:tcPr>
          <w:p w14:paraId="577592E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p>
        </w:tc>
        <w:tc>
          <w:tcPr>
            <w:tcW w:w="840" w:type="dxa"/>
            <w:shd w:val="clear" w:color="auto" w:fill="auto"/>
            <w:vAlign w:val="center"/>
          </w:tcPr>
          <w:p w14:paraId="2891292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p>
        </w:tc>
        <w:tc>
          <w:tcPr>
            <w:tcW w:w="734" w:type="dxa"/>
            <w:shd w:val="clear" w:color="auto" w:fill="auto"/>
            <w:vAlign w:val="center"/>
          </w:tcPr>
          <w:p w14:paraId="44126F1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p>
        </w:tc>
        <w:tc>
          <w:tcPr>
            <w:tcW w:w="727" w:type="dxa"/>
            <w:shd w:val="clear" w:color="auto" w:fill="auto"/>
            <w:vAlign w:val="center"/>
          </w:tcPr>
          <w:p w14:paraId="35FF079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62</w:t>
            </w:r>
          </w:p>
        </w:tc>
        <w:tc>
          <w:tcPr>
            <w:tcW w:w="809" w:type="dxa"/>
            <w:shd w:val="clear" w:color="auto" w:fill="auto"/>
            <w:vAlign w:val="center"/>
          </w:tcPr>
          <w:p w14:paraId="7C5EBA2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p>
        </w:tc>
        <w:tc>
          <w:tcPr>
            <w:tcW w:w="633" w:type="dxa"/>
            <w:shd w:val="clear" w:color="auto" w:fill="auto"/>
            <w:vAlign w:val="center"/>
          </w:tcPr>
          <w:p w14:paraId="4C94A5A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56</w:t>
            </w:r>
          </w:p>
        </w:tc>
      </w:tr>
    </w:tbl>
    <w:p w14:paraId="26D98DB3">
      <w:pPr>
        <w:pStyle w:val="4"/>
        <w:bidi w:val="0"/>
        <w:rPr>
          <w:rFonts w:hint="default"/>
          <w:color w:val="auto"/>
          <w:lang w:val="en-US" w:eastAsia="zh-CN"/>
        </w:rPr>
      </w:pPr>
      <w:bookmarkStart w:id="303" w:name="_Toc30937"/>
      <w:bookmarkStart w:id="304" w:name="_Toc13958"/>
      <w:bookmarkStart w:id="305" w:name="_Toc15352"/>
      <w:r>
        <w:rPr>
          <w:rFonts w:hint="eastAsia"/>
          <w:color w:val="auto"/>
          <w:lang w:val="en-US" w:eastAsia="zh-CN"/>
        </w:rPr>
        <w:t>5.4.2 评价小结</w:t>
      </w:r>
      <w:bookmarkEnd w:id="303"/>
      <w:bookmarkEnd w:id="304"/>
      <w:bookmarkEnd w:id="305"/>
    </w:p>
    <w:p w14:paraId="3FE7AF81">
      <w:pPr>
        <w:bidi w:val="0"/>
        <w:rPr>
          <w:rFonts w:hint="default"/>
          <w:color w:val="auto"/>
          <w:lang w:val="en-US" w:eastAsia="zh-CN"/>
        </w:rPr>
      </w:pPr>
      <w:r>
        <w:rPr>
          <w:rFonts w:hint="default"/>
          <w:color w:val="auto"/>
          <w:lang w:val="en-US" w:eastAsia="zh-CN"/>
        </w:rPr>
        <w:t>江西省坤育矿业有限公司德安县聂桥镇刘家山矿区建筑用辉绿岩矿露天开采</w:t>
      </w:r>
      <w:r>
        <w:rPr>
          <w:rFonts w:hint="eastAsia"/>
          <w:color w:val="auto"/>
          <w:lang w:val="en-US" w:eastAsia="zh-CN"/>
        </w:rPr>
        <w:t>工程</w:t>
      </w:r>
      <w:r>
        <w:rPr>
          <w:rFonts w:hint="default"/>
          <w:color w:val="auto"/>
          <w:lang w:val="en-US" w:eastAsia="zh-CN"/>
        </w:rPr>
        <w:t>供配电设施单元</w:t>
      </w:r>
      <w:r>
        <w:rPr>
          <w:rFonts w:hint="eastAsia"/>
          <w:color w:val="auto"/>
          <w:lang w:val="en-US" w:eastAsia="zh-CN"/>
        </w:rPr>
        <w:t>安全</w:t>
      </w:r>
      <w:r>
        <w:rPr>
          <w:rFonts w:hint="default"/>
          <w:color w:val="auto"/>
          <w:lang w:val="en-US" w:eastAsia="zh-CN"/>
        </w:rPr>
        <w:t>检查表中无否决项，一般项总分</w:t>
      </w:r>
      <w:r>
        <w:rPr>
          <w:rFonts w:hint="eastAsia"/>
          <w:color w:val="auto"/>
          <w:lang w:val="en-US" w:eastAsia="zh-CN"/>
        </w:rPr>
        <w:t>62</w:t>
      </w:r>
      <w:r>
        <w:rPr>
          <w:rFonts w:hint="default"/>
          <w:color w:val="auto"/>
          <w:lang w:val="en-US" w:eastAsia="zh-CN"/>
        </w:rPr>
        <w:t>分</w:t>
      </w:r>
      <w:r>
        <w:rPr>
          <w:rFonts w:hint="eastAsia"/>
          <w:color w:val="auto"/>
          <w:lang w:val="en-US" w:eastAsia="zh-CN"/>
        </w:rPr>
        <w:t>，得分56</w:t>
      </w:r>
      <w:r>
        <w:rPr>
          <w:rFonts w:hint="default"/>
          <w:color w:val="auto"/>
          <w:lang w:val="en-US" w:eastAsia="zh-CN"/>
        </w:rPr>
        <w:t>分，得分率为</w:t>
      </w:r>
      <w:r>
        <w:rPr>
          <w:rFonts w:hint="eastAsia"/>
          <w:color w:val="auto"/>
          <w:lang w:val="en-US" w:eastAsia="zh-CN"/>
        </w:rPr>
        <w:t>90.32</w:t>
      </w:r>
      <w:r>
        <w:rPr>
          <w:rFonts w:hint="default"/>
          <w:color w:val="auto"/>
          <w:lang w:val="en-US" w:eastAsia="zh-CN"/>
        </w:rPr>
        <w:t>%，说明江西省坤育矿业有限公司德安县聂桥镇刘家山矿区建筑用辉绿岩矿露天开采</w:t>
      </w:r>
      <w:r>
        <w:rPr>
          <w:rFonts w:hint="eastAsia"/>
          <w:color w:val="auto"/>
          <w:lang w:val="en-US" w:eastAsia="zh-CN"/>
        </w:rPr>
        <w:t>工程</w:t>
      </w:r>
      <w:r>
        <w:rPr>
          <w:rFonts w:hint="default"/>
          <w:color w:val="auto"/>
          <w:lang w:val="en-US" w:eastAsia="zh-CN"/>
        </w:rPr>
        <w:t>供配电设施单元具备安全生产条件。</w:t>
      </w:r>
    </w:p>
    <w:p w14:paraId="13E771D0">
      <w:pPr>
        <w:bidi w:val="0"/>
        <w:rPr>
          <w:rFonts w:hint="default"/>
          <w:color w:val="auto"/>
          <w:lang w:val="en-US" w:eastAsia="zh-CN"/>
        </w:rPr>
      </w:pPr>
      <w:r>
        <w:rPr>
          <w:rFonts w:hint="default"/>
          <w:color w:val="auto"/>
          <w:lang w:val="en-US" w:eastAsia="zh-CN"/>
        </w:rPr>
        <w:t>存在的主要问题</w:t>
      </w:r>
      <w:r>
        <w:rPr>
          <w:rFonts w:hint="eastAsia"/>
          <w:color w:val="auto"/>
          <w:lang w:val="en-US" w:eastAsia="zh-CN"/>
        </w:rPr>
        <w:t>：1</w:t>
      </w:r>
      <w:r>
        <w:rPr>
          <w:rFonts w:hint="eastAsia" w:ascii="宋体" w:hAnsi="宋体" w:eastAsia="宋体" w:cs="宋体"/>
          <w:color w:val="auto"/>
          <w:lang w:val="en-US" w:eastAsia="zh-CN"/>
        </w:rPr>
        <w:t>）</w:t>
      </w:r>
      <w:r>
        <w:rPr>
          <w:rFonts w:hint="default"/>
          <w:color w:val="auto"/>
          <w:lang w:val="en-US" w:eastAsia="zh-CN"/>
        </w:rPr>
        <w:t>配电间未设应急照明设施</w:t>
      </w:r>
      <w:r>
        <w:rPr>
          <w:rFonts w:hint="eastAsia"/>
          <w:color w:val="auto"/>
          <w:lang w:val="en-US" w:eastAsia="zh-CN"/>
        </w:rPr>
        <w:t>；2</w:t>
      </w:r>
      <w:r>
        <w:rPr>
          <w:rFonts w:hint="eastAsia" w:ascii="宋体" w:hAnsi="宋体" w:eastAsia="宋体" w:cs="宋体"/>
          <w:color w:val="auto"/>
          <w:lang w:val="en-US" w:eastAsia="zh-CN"/>
        </w:rPr>
        <w:t>）</w:t>
      </w:r>
      <w:r>
        <w:rPr>
          <w:rFonts w:hint="default"/>
          <w:color w:val="auto"/>
          <w:lang w:val="en-US" w:eastAsia="zh-CN"/>
        </w:rPr>
        <w:t>未建立电气作业安全制度。</w:t>
      </w:r>
    </w:p>
    <w:p w14:paraId="779E41D2">
      <w:pPr>
        <w:pStyle w:val="3"/>
        <w:bidi w:val="0"/>
        <w:rPr>
          <w:rFonts w:hint="default"/>
          <w:color w:val="auto"/>
          <w:lang w:val="en-US" w:eastAsia="zh-CN"/>
        </w:rPr>
      </w:pPr>
      <w:bookmarkStart w:id="306" w:name="_Toc32224"/>
      <w:bookmarkStart w:id="307" w:name="_Toc3529"/>
      <w:bookmarkStart w:id="308" w:name="_Toc5623"/>
      <w:r>
        <w:rPr>
          <w:rFonts w:hint="eastAsia"/>
          <w:color w:val="auto"/>
          <w:lang w:val="en-US" w:eastAsia="zh-CN"/>
        </w:rPr>
        <w:t>5.5 防排水单元</w:t>
      </w:r>
      <w:bookmarkEnd w:id="306"/>
      <w:bookmarkEnd w:id="307"/>
      <w:bookmarkEnd w:id="308"/>
    </w:p>
    <w:p w14:paraId="6AF09323">
      <w:pPr>
        <w:pStyle w:val="4"/>
        <w:bidi w:val="0"/>
        <w:rPr>
          <w:rFonts w:hint="default"/>
          <w:color w:val="auto"/>
          <w:lang w:val="en-US" w:eastAsia="zh-CN"/>
        </w:rPr>
      </w:pPr>
      <w:bookmarkStart w:id="309" w:name="_Toc10255"/>
      <w:bookmarkStart w:id="310" w:name="_Toc26734"/>
      <w:bookmarkStart w:id="311" w:name="_Toc19372"/>
      <w:r>
        <w:rPr>
          <w:rFonts w:hint="eastAsia"/>
          <w:color w:val="auto"/>
          <w:lang w:val="en-US" w:eastAsia="zh-CN"/>
        </w:rPr>
        <w:t>5.5.1 防排水安全检查表</w:t>
      </w:r>
      <w:bookmarkEnd w:id="309"/>
      <w:bookmarkEnd w:id="310"/>
      <w:bookmarkEnd w:id="311"/>
    </w:p>
    <w:p w14:paraId="2D7DC325">
      <w:pPr>
        <w:rPr>
          <w:rFonts w:hint="default"/>
          <w:color w:val="auto"/>
          <w:lang w:val="en-US" w:eastAsia="zh-CN"/>
        </w:rPr>
      </w:pPr>
      <w:r>
        <w:rPr>
          <w:rFonts w:hint="default"/>
          <w:color w:val="auto"/>
          <w:lang w:val="en-US" w:eastAsia="zh-CN"/>
        </w:rPr>
        <w:t>防排水安全检查表见表5.</w:t>
      </w:r>
      <w:r>
        <w:rPr>
          <w:rFonts w:hint="eastAsia"/>
          <w:color w:val="auto"/>
          <w:lang w:val="en-US" w:eastAsia="zh-CN"/>
        </w:rPr>
        <w:t>5</w:t>
      </w:r>
      <w:r>
        <w:rPr>
          <w:rFonts w:hint="default"/>
          <w:color w:val="auto"/>
          <w:lang w:val="en-US" w:eastAsia="zh-CN"/>
        </w:rPr>
        <w:t>-1。</w:t>
      </w:r>
    </w:p>
    <w:p w14:paraId="16362AC8">
      <w:pPr>
        <w:ind w:left="0" w:leftChars="0" w:firstLine="0" w:firstLineChars="0"/>
        <w:jc w:val="center"/>
        <w:rPr>
          <w:rFonts w:hint="eastAsia"/>
          <w:color w:val="auto"/>
          <w:lang w:val="en-US" w:eastAsia="zh-CN"/>
        </w:rPr>
      </w:pPr>
      <w:r>
        <w:rPr>
          <w:rFonts w:hint="default"/>
          <w:color w:val="auto"/>
          <w:lang w:val="en-US" w:eastAsia="zh-CN"/>
        </w:rPr>
        <w:t>表5.</w:t>
      </w:r>
      <w:r>
        <w:rPr>
          <w:rFonts w:hint="eastAsia"/>
          <w:color w:val="auto"/>
          <w:lang w:val="en-US" w:eastAsia="zh-CN"/>
        </w:rPr>
        <w:t>5</w:t>
      </w:r>
      <w:r>
        <w:rPr>
          <w:rFonts w:hint="default"/>
          <w:color w:val="auto"/>
          <w:lang w:val="en-US" w:eastAsia="zh-CN"/>
        </w:rPr>
        <w:t>-1</w:t>
      </w:r>
      <w:r>
        <w:rPr>
          <w:rFonts w:hint="eastAsia"/>
          <w:color w:val="auto"/>
          <w:lang w:val="en-US" w:eastAsia="zh-CN"/>
        </w:rPr>
        <w:t xml:space="preserve"> 防排水安全检查表</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2"/>
        <w:gridCol w:w="2483"/>
        <w:gridCol w:w="1567"/>
        <w:gridCol w:w="1084"/>
        <w:gridCol w:w="1466"/>
        <w:gridCol w:w="534"/>
        <w:gridCol w:w="792"/>
        <w:gridCol w:w="530"/>
      </w:tblGrid>
      <w:tr w14:paraId="3E9A4E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2" w:type="dxa"/>
            <w:vAlign w:val="center"/>
          </w:tcPr>
          <w:p w14:paraId="2BCA1C4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b/>
                <w:bCs/>
                <w:color w:val="auto"/>
                <w:sz w:val="21"/>
                <w:szCs w:val="21"/>
                <w:vertAlign w:val="baseline"/>
                <w:lang w:val="en-US" w:eastAsia="zh-CN"/>
              </w:rPr>
            </w:pPr>
            <w:r>
              <w:rPr>
                <w:rFonts w:hint="eastAsia"/>
                <w:b/>
                <w:bCs/>
                <w:color w:val="auto"/>
                <w:sz w:val="21"/>
                <w:szCs w:val="21"/>
                <w:vertAlign w:val="baseline"/>
                <w:lang w:val="en-US" w:eastAsia="zh-CN"/>
              </w:rPr>
              <w:t>序号</w:t>
            </w:r>
          </w:p>
        </w:tc>
        <w:tc>
          <w:tcPr>
            <w:tcW w:w="2483" w:type="dxa"/>
            <w:vAlign w:val="center"/>
          </w:tcPr>
          <w:p w14:paraId="1C034106">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b/>
                <w:bCs/>
                <w:color w:val="auto"/>
                <w:sz w:val="21"/>
                <w:szCs w:val="21"/>
                <w:vertAlign w:val="baseline"/>
                <w:lang w:val="en-US" w:eastAsia="zh-CN"/>
              </w:rPr>
            </w:pPr>
            <w:r>
              <w:rPr>
                <w:rFonts w:hint="eastAsia"/>
                <w:b/>
                <w:bCs/>
                <w:color w:val="auto"/>
                <w:sz w:val="21"/>
                <w:szCs w:val="21"/>
                <w:vertAlign w:val="baseline"/>
                <w:lang w:val="en-US" w:eastAsia="zh-CN"/>
              </w:rPr>
              <w:t>检查内容</w:t>
            </w:r>
          </w:p>
        </w:tc>
        <w:tc>
          <w:tcPr>
            <w:tcW w:w="1567" w:type="dxa"/>
            <w:vAlign w:val="center"/>
          </w:tcPr>
          <w:p w14:paraId="2D897B6F">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b/>
                <w:bCs/>
                <w:color w:val="auto"/>
                <w:sz w:val="21"/>
                <w:szCs w:val="21"/>
                <w:vertAlign w:val="baseline"/>
                <w:lang w:val="en-US" w:eastAsia="zh-CN"/>
              </w:rPr>
            </w:pPr>
            <w:r>
              <w:rPr>
                <w:rFonts w:hint="default"/>
                <w:b/>
                <w:bCs/>
                <w:color w:val="auto"/>
                <w:sz w:val="21"/>
                <w:szCs w:val="21"/>
                <w:vertAlign w:val="baseline"/>
                <w:lang w:val="en-US" w:eastAsia="zh-CN"/>
              </w:rPr>
              <w:t>检查依据</w:t>
            </w:r>
          </w:p>
        </w:tc>
        <w:tc>
          <w:tcPr>
            <w:tcW w:w="1084" w:type="dxa"/>
            <w:vAlign w:val="center"/>
          </w:tcPr>
          <w:p w14:paraId="6C22C02A">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b/>
                <w:bCs/>
                <w:color w:val="auto"/>
                <w:sz w:val="21"/>
                <w:szCs w:val="21"/>
                <w:vertAlign w:val="baseline"/>
                <w:lang w:val="en-US" w:eastAsia="zh-CN"/>
              </w:rPr>
            </w:pPr>
            <w:r>
              <w:rPr>
                <w:rFonts w:hint="default"/>
                <w:b/>
                <w:bCs/>
                <w:color w:val="auto"/>
                <w:sz w:val="21"/>
                <w:szCs w:val="21"/>
                <w:vertAlign w:val="baseline"/>
                <w:lang w:val="en-US" w:eastAsia="zh-CN"/>
              </w:rPr>
              <w:t>检查方法及地点</w:t>
            </w:r>
          </w:p>
        </w:tc>
        <w:tc>
          <w:tcPr>
            <w:tcW w:w="1466" w:type="dxa"/>
            <w:vAlign w:val="center"/>
          </w:tcPr>
          <w:p w14:paraId="19572DF8">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b/>
                <w:bCs/>
                <w:color w:val="auto"/>
                <w:sz w:val="21"/>
                <w:szCs w:val="21"/>
                <w:vertAlign w:val="baseline"/>
                <w:lang w:val="en-US" w:eastAsia="zh-CN"/>
              </w:rPr>
            </w:pPr>
            <w:r>
              <w:rPr>
                <w:rFonts w:hint="default"/>
                <w:b/>
                <w:bCs/>
                <w:color w:val="auto"/>
                <w:sz w:val="21"/>
                <w:szCs w:val="21"/>
                <w:vertAlign w:val="baseline"/>
                <w:lang w:val="en-US" w:eastAsia="zh-CN"/>
              </w:rPr>
              <w:t>检查</w:t>
            </w:r>
          </w:p>
          <w:p w14:paraId="3529CE1E">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b/>
                <w:bCs/>
                <w:color w:val="auto"/>
                <w:sz w:val="21"/>
                <w:szCs w:val="21"/>
                <w:vertAlign w:val="baseline"/>
                <w:lang w:val="en-US" w:eastAsia="zh-CN"/>
              </w:rPr>
            </w:pPr>
            <w:r>
              <w:rPr>
                <w:rFonts w:hint="default"/>
                <w:b/>
                <w:bCs/>
                <w:color w:val="auto"/>
                <w:sz w:val="21"/>
                <w:szCs w:val="21"/>
                <w:vertAlign w:val="baseline"/>
                <w:lang w:val="en-US" w:eastAsia="zh-CN"/>
              </w:rPr>
              <w:t>记录</w:t>
            </w:r>
          </w:p>
        </w:tc>
        <w:tc>
          <w:tcPr>
            <w:tcW w:w="534" w:type="dxa"/>
            <w:vAlign w:val="center"/>
          </w:tcPr>
          <w:p w14:paraId="17A6BC24">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b/>
                <w:bCs/>
                <w:color w:val="auto"/>
                <w:sz w:val="21"/>
                <w:szCs w:val="21"/>
                <w:vertAlign w:val="baseline"/>
                <w:lang w:val="en-US" w:eastAsia="zh-CN"/>
              </w:rPr>
            </w:pPr>
            <w:r>
              <w:rPr>
                <w:rFonts w:hint="default"/>
                <w:b/>
                <w:bCs/>
                <w:color w:val="auto"/>
                <w:sz w:val="21"/>
                <w:szCs w:val="21"/>
                <w:vertAlign w:val="baseline"/>
                <w:lang w:val="en-US" w:eastAsia="zh-CN"/>
              </w:rPr>
              <w:t>标准</w:t>
            </w:r>
          </w:p>
          <w:p w14:paraId="479EFFDB">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b/>
                <w:bCs/>
                <w:color w:val="auto"/>
                <w:sz w:val="21"/>
                <w:szCs w:val="21"/>
                <w:vertAlign w:val="baseline"/>
                <w:lang w:val="en-US" w:eastAsia="zh-CN"/>
              </w:rPr>
            </w:pPr>
            <w:r>
              <w:rPr>
                <w:rFonts w:hint="default"/>
                <w:b/>
                <w:bCs/>
                <w:color w:val="auto"/>
                <w:sz w:val="21"/>
                <w:szCs w:val="21"/>
                <w:vertAlign w:val="baseline"/>
                <w:lang w:val="en-US" w:eastAsia="zh-CN"/>
              </w:rPr>
              <w:t>分值</w:t>
            </w:r>
          </w:p>
        </w:tc>
        <w:tc>
          <w:tcPr>
            <w:tcW w:w="792" w:type="dxa"/>
            <w:vAlign w:val="center"/>
          </w:tcPr>
          <w:p w14:paraId="6A640FAA">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b/>
                <w:bCs/>
                <w:color w:val="auto"/>
                <w:sz w:val="21"/>
                <w:szCs w:val="21"/>
                <w:vertAlign w:val="baseline"/>
                <w:lang w:val="en-US" w:eastAsia="zh-CN"/>
              </w:rPr>
            </w:pPr>
            <w:r>
              <w:rPr>
                <w:rFonts w:hint="default"/>
                <w:b/>
                <w:bCs/>
                <w:color w:val="auto"/>
                <w:sz w:val="21"/>
                <w:szCs w:val="21"/>
                <w:vertAlign w:val="baseline"/>
                <w:lang w:val="en-US" w:eastAsia="zh-CN"/>
              </w:rPr>
              <w:t>评分</w:t>
            </w:r>
          </w:p>
          <w:p w14:paraId="7179BF8D">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b/>
                <w:bCs/>
                <w:color w:val="auto"/>
                <w:sz w:val="21"/>
                <w:szCs w:val="21"/>
                <w:vertAlign w:val="baseline"/>
                <w:lang w:val="en-US" w:eastAsia="zh-CN"/>
              </w:rPr>
            </w:pPr>
            <w:r>
              <w:rPr>
                <w:rFonts w:hint="default"/>
                <w:b/>
                <w:bCs/>
                <w:color w:val="auto"/>
                <w:sz w:val="21"/>
                <w:szCs w:val="21"/>
                <w:vertAlign w:val="baseline"/>
                <w:lang w:val="en-US" w:eastAsia="zh-CN"/>
              </w:rPr>
              <w:t>标准</w:t>
            </w:r>
          </w:p>
        </w:tc>
        <w:tc>
          <w:tcPr>
            <w:tcW w:w="530" w:type="dxa"/>
            <w:vAlign w:val="center"/>
          </w:tcPr>
          <w:p w14:paraId="15CB1163">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b/>
                <w:bCs/>
                <w:color w:val="auto"/>
                <w:sz w:val="21"/>
                <w:szCs w:val="21"/>
                <w:vertAlign w:val="baseline"/>
                <w:lang w:val="en-US" w:eastAsia="zh-CN"/>
              </w:rPr>
            </w:pPr>
            <w:r>
              <w:rPr>
                <w:rFonts w:hint="eastAsia"/>
                <w:b/>
                <w:bCs/>
                <w:color w:val="auto"/>
                <w:sz w:val="21"/>
                <w:szCs w:val="21"/>
                <w:vertAlign w:val="baseline"/>
                <w:lang w:val="en-US" w:eastAsia="zh-CN"/>
              </w:rPr>
              <w:t>得分</w:t>
            </w:r>
          </w:p>
        </w:tc>
      </w:tr>
      <w:tr w14:paraId="44CA5F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832" w:type="dxa"/>
            <w:vAlign w:val="center"/>
          </w:tcPr>
          <w:p w14:paraId="01496983">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1</w:t>
            </w:r>
          </w:p>
        </w:tc>
        <w:tc>
          <w:tcPr>
            <w:tcW w:w="2483" w:type="dxa"/>
            <w:vAlign w:val="center"/>
          </w:tcPr>
          <w:p w14:paraId="30469A66">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露天矿山应建立水文地质资料档案；有洪水或地下水威胁的应设置防、排水机构；水文地质条件复杂或有洪水淹没危险的应配备专职水文地质人员。</w:t>
            </w:r>
          </w:p>
        </w:tc>
        <w:tc>
          <w:tcPr>
            <w:tcW w:w="1567" w:type="dxa"/>
            <w:vAlign w:val="center"/>
          </w:tcPr>
          <w:p w14:paraId="63BA6D09">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GB16423-2020</w:t>
            </w:r>
          </w:p>
          <w:p w14:paraId="7A4E6CBF">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5.7.1.1</w:t>
            </w:r>
          </w:p>
        </w:tc>
        <w:tc>
          <w:tcPr>
            <w:tcW w:w="1084" w:type="dxa"/>
            <w:vAlign w:val="center"/>
          </w:tcPr>
          <w:p w14:paraId="629019D7">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对照设计</w:t>
            </w:r>
          </w:p>
          <w:p w14:paraId="6E782D4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检查现场</w:t>
            </w:r>
          </w:p>
        </w:tc>
        <w:tc>
          <w:tcPr>
            <w:tcW w:w="1466" w:type="dxa"/>
            <w:vAlign w:val="center"/>
          </w:tcPr>
          <w:p w14:paraId="3D2A8434">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已建立水文地质资料档案，无洪水或地下水威胁，水文地质条件简单</w:t>
            </w:r>
          </w:p>
        </w:tc>
        <w:tc>
          <w:tcPr>
            <w:tcW w:w="534" w:type="dxa"/>
            <w:vAlign w:val="center"/>
          </w:tcPr>
          <w:p w14:paraId="7ED19505">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6</w:t>
            </w:r>
          </w:p>
        </w:tc>
        <w:tc>
          <w:tcPr>
            <w:tcW w:w="792" w:type="dxa"/>
            <w:vAlign w:val="center"/>
          </w:tcPr>
          <w:p w14:paraId="0096AE86">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不符合不得分</w:t>
            </w:r>
          </w:p>
        </w:tc>
        <w:tc>
          <w:tcPr>
            <w:tcW w:w="530" w:type="dxa"/>
            <w:vAlign w:val="center"/>
          </w:tcPr>
          <w:p w14:paraId="4D2BB660">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6</w:t>
            </w:r>
          </w:p>
        </w:tc>
      </w:tr>
      <w:tr w14:paraId="3930B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 w:hRule="atLeast"/>
          <w:jc w:val="center"/>
        </w:trPr>
        <w:tc>
          <w:tcPr>
            <w:tcW w:w="832" w:type="dxa"/>
            <w:vAlign w:val="center"/>
          </w:tcPr>
          <w:p w14:paraId="122B5ADC">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2</w:t>
            </w:r>
          </w:p>
        </w:tc>
        <w:tc>
          <w:tcPr>
            <w:tcW w:w="2483" w:type="dxa"/>
            <w:vAlign w:val="center"/>
          </w:tcPr>
          <w:p w14:paraId="6B51FE60">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露天采场的总出入沟口、平硐口、排水井口和工业场地应不受洪水威胁。</w:t>
            </w:r>
          </w:p>
        </w:tc>
        <w:tc>
          <w:tcPr>
            <w:tcW w:w="1567" w:type="dxa"/>
            <w:vAlign w:val="center"/>
          </w:tcPr>
          <w:p w14:paraId="25B1DD65">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GB16423-2020</w:t>
            </w:r>
          </w:p>
          <w:p w14:paraId="021FC346">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5.7.1.2</w:t>
            </w:r>
          </w:p>
        </w:tc>
        <w:tc>
          <w:tcPr>
            <w:tcW w:w="1084" w:type="dxa"/>
            <w:vAlign w:val="center"/>
          </w:tcPr>
          <w:p w14:paraId="45DAEF69">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对照设计</w:t>
            </w:r>
          </w:p>
          <w:p w14:paraId="16BEFB81">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检查现场</w:t>
            </w:r>
          </w:p>
        </w:tc>
        <w:tc>
          <w:tcPr>
            <w:tcW w:w="1466" w:type="dxa"/>
            <w:vAlign w:val="center"/>
          </w:tcPr>
          <w:p w14:paraId="0DA25738">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区内最低侵蚀基准面标高+121.0m，不受洪水威胁</w:t>
            </w:r>
          </w:p>
        </w:tc>
        <w:tc>
          <w:tcPr>
            <w:tcW w:w="534" w:type="dxa"/>
            <w:vAlign w:val="center"/>
          </w:tcPr>
          <w:p w14:paraId="405A01C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6</w:t>
            </w:r>
          </w:p>
        </w:tc>
        <w:tc>
          <w:tcPr>
            <w:tcW w:w="792" w:type="dxa"/>
            <w:vAlign w:val="center"/>
          </w:tcPr>
          <w:p w14:paraId="0A29B2C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不符合不得分</w:t>
            </w:r>
          </w:p>
        </w:tc>
        <w:tc>
          <w:tcPr>
            <w:tcW w:w="530" w:type="dxa"/>
            <w:vAlign w:val="center"/>
          </w:tcPr>
          <w:p w14:paraId="6BCCDE8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6</w:t>
            </w:r>
          </w:p>
        </w:tc>
      </w:tr>
      <w:tr w14:paraId="15793E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832" w:type="dxa"/>
            <w:vAlign w:val="center"/>
          </w:tcPr>
          <w:p w14:paraId="66F32651">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3</w:t>
            </w:r>
          </w:p>
        </w:tc>
        <w:tc>
          <w:tcPr>
            <w:tcW w:w="2483" w:type="dxa"/>
            <w:vAlign w:val="center"/>
          </w:tcPr>
          <w:p w14:paraId="7A811324">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露天矿山应采取下列措施证采场安全：</w:t>
            </w:r>
          </w:p>
          <w:p w14:paraId="44BCDC60">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color w:val="auto"/>
                <w:sz w:val="21"/>
                <w:szCs w:val="21"/>
                <w:vertAlign w:val="baseline"/>
                <w:lang w:val="en-US" w:eastAsia="zh-CN"/>
              </w:rPr>
            </w:pPr>
            <w:r>
              <w:rPr>
                <w:rFonts w:hint="default" w:ascii="Times New Roman" w:hAnsi="Times New Roman" w:eastAsia="宋体" w:cs="Times New Roman"/>
                <w:color w:val="auto"/>
                <w:kern w:val="2"/>
                <w:sz w:val="21"/>
                <w:szCs w:val="21"/>
                <w:vertAlign w:val="baseline"/>
                <w:lang w:val="en-US" w:eastAsia="zh-CN" w:bidi="ar-SA"/>
              </w:rPr>
              <w:t>1、</w:t>
            </w:r>
            <w:r>
              <w:rPr>
                <w:rFonts w:hint="default"/>
                <w:color w:val="auto"/>
                <w:sz w:val="21"/>
                <w:szCs w:val="21"/>
                <w:vertAlign w:val="baseline"/>
                <w:lang w:val="en-US" w:eastAsia="zh-CN"/>
              </w:rPr>
              <w:t>在采场边坡台阶设置排水沟；</w:t>
            </w:r>
          </w:p>
          <w:p w14:paraId="7F43EBB9">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2、地下水影响露天采场的安全生产时，应采取疏干等防治措施。</w:t>
            </w:r>
          </w:p>
        </w:tc>
        <w:tc>
          <w:tcPr>
            <w:tcW w:w="1567" w:type="dxa"/>
            <w:vAlign w:val="center"/>
          </w:tcPr>
          <w:p w14:paraId="277C925A">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GB16423-2020</w:t>
            </w:r>
          </w:p>
          <w:p w14:paraId="068D3DA6">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5.7.1.3</w:t>
            </w:r>
          </w:p>
        </w:tc>
        <w:tc>
          <w:tcPr>
            <w:tcW w:w="1084" w:type="dxa"/>
            <w:vAlign w:val="center"/>
          </w:tcPr>
          <w:p w14:paraId="68C79D06">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对照设计</w:t>
            </w:r>
          </w:p>
          <w:p w14:paraId="0B11BB7C">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检查现场</w:t>
            </w:r>
          </w:p>
        </w:tc>
        <w:tc>
          <w:tcPr>
            <w:tcW w:w="1466" w:type="dxa"/>
            <w:vAlign w:val="center"/>
          </w:tcPr>
          <w:p w14:paraId="0A0A0EB7">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+299m、+260m平台设置了排水沟</w:t>
            </w:r>
            <w:r>
              <w:rPr>
                <w:rFonts w:hint="eastAsia"/>
                <w:color w:val="auto"/>
                <w:sz w:val="21"/>
                <w:szCs w:val="21"/>
                <w:vertAlign w:val="baseline"/>
                <w:lang w:val="en-US" w:eastAsia="zh-CN"/>
              </w:rPr>
              <w:t>，不受地下水影响</w:t>
            </w:r>
          </w:p>
        </w:tc>
        <w:tc>
          <w:tcPr>
            <w:tcW w:w="534" w:type="dxa"/>
            <w:vAlign w:val="center"/>
          </w:tcPr>
          <w:p w14:paraId="4E48F17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4</w:t>
            </w:r>
          </w:p>
        </w:tc>
        <w:tc>
          <w:tcPr>
            <w:tcW w:w="792" w:type="dxa"/>
            <w:vAlign w:val="center"/>
          </w:tcPr>
          <w:p w14:paraId="09D46E6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ascii="Times New Roman" w:hAnsi="Times New Roman" w:eastAsia="宋体" w:cs="Times New Roman"/>
                <w:color w:val="auto"/>
                <w:kern w:val="2"/>
                <w:sz w:val="21"/>
                <w:szCs w:val="21"/>
                <w:vertAlign w:val="baseline"/>
                <w:lang w:val="en-US" w:eastAsia="zh-CN" w:bidi="ar-SA"/>
              </w:rPr>
              <w:t>1项不符合扣2分</w:t>
            </w:r>
          </w:p>
        </w:tc>
        <w:tc>
          <w:tcPr>
            <w:tcW w:w="530" w:type="dxa"/>
            <w:vAlign w:val="center"/>
          </w:tcPr>
          <w:p w14:paraId="248AD7D2">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4</w:t>
            </w:r>
          </w:p>
        </w:tc>
      </w:tr>
      <w:tr w14:paraId="4BED47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832" w:type="dxa"/>
            <w:vAlign w:val="center"/>
          </w:tcPr>
          <w:p w14:paraId="51BB30EB">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4</w:t>
            </w:r>
          </w:p>
        </w:tc>
        <w:tc>
          <w:tcPr>
            <w:tcW w:w="2483" w:type="dxa"/>
            <w:vAlign w:val="center"/>
          </w:tcPr>
          <w:p w14:paraId="5A622A84">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露天矿山应按照下列要求建立防排水系统：</w:t>
            </w:r>
          </w:p>
          <w:p w14:paraId="4151A91D">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color w:val="auto"/>
                <w:sz w:val="21"/>
                <w:szCs w:val="21"/>
                <w:vertAlign w:val="baseline"/>
                <w:lang w:val="en-US" w:eastAsia="zh-CN"/>
              </w:rPr>
            </w:pPr>
            <w:r>
              <w:rPr>
                <w:rFonts w:hint="default" w:ascii="Times New Roman" w:hAnsi="Times New Roman" w:eastAsia="宋体" w:cs="Times New Roman"/>
                <w:color w:val="auto"/>
                <w:kern w:val="2"/>
                <w:sz w:val="21"/>
                <w:szCs w:val="21"/>
                <w:vertAlign w:val="baseline"/>
                <w:lang w:val="en-US" w:eastAsia="zh-CN" w:bidi="ar-SA"/>
              </w:rPr>
              <w:t>1、</w:t>
            </w:r>
            <w:r>
              <w:rPr>
                <w:rFonts w:hint="default"/>
                <w:color w:val="auto"/>
                <w:sz w:val="21"/>
                <w:szCs w:val="21"/>
                <w:vertAlign w:val="baseline"/>
                <w:lang w:val="en-US" w:eastAsia="zh-CN"/>
              </w:rPr>
              <w:t>受洪水威胁的露天采场应按设置地面防洪工程、</w:t>
            </w:r>
          </w:p>
          <w:p w14:paraId="4A2ED009">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2、不具备自然外排条件的山坡露天矿，境界外应设截水沟排水；</w:t>
            </w:r>
          </w:p>
          <w:p w14:paraId="71E57743">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3、凹陷露天矿坑应设机械排水或自流排水设施；</w:t>
            </w:r>
          </w:p>
          <w:p w14:paraId="4C4FB3DD">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4、遇设计防洪频率的暴雨时，最低台阶淹没时间不应超过7d，淹没前应撤出人员和重要设备。</w:t>
            </w:r>
          </w:p>
        </w:tc>
        <w:tc>
          <w:tcPr>
            <w:tcW w:w="1567" w:type="dxa"/>
            <w:vAlign w:val="center"/>
          </w:tcPr>
          <w:p w14:paraId="2A21FDE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GB16423-2020</w:t>
            </w:r>
          </w:p>
          <w:p w14:paraId="5E0D0EF4">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5.7.1.4</w:t>
            </w:r>
          </w:p>
        </w:tc>
        <w:tc>
          <w:tcPr>
            <w:tcW w:w="1084" w:type="dxa"/>
            <w:vAlign w:val="center"/>
          </w:tcPr>
          <w:p w14:paraId="7D1AA185">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对照设计</w:t>
            </w:r>
          </w:p>
          <w:p w14:paraId="076A1D8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检查现场</w:t>
            </w:r>
          </w:p>
        </w:tc>
        <w:tc>
          <w:tcPr>
            <w:tcW w:w="1466" w:type="dxa"/>
            <w:vAlign w:val="center"/>
          </w:tcPr>
          <w:p w14:paraId="4156A026">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已设置截水沟排水</w:t>
            </w:r>
          </w:p>
        </w:tc>
        <w:tc>
          <w:tcPr>
            <w:tcW w:w="534" w:type="dxa"/>
            <w:vAlign w:val="center"/>
          </w:tcPr>
          <w:p w14:paraId="2445FF5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8</w:t>
            </w:r>
          </w:p>
        </w:tc>
        <w:tc>
          <w:tcPr>
            <w:tcW w:w="792" w:type="dxa"/>
            <w:vAlign w:val="center"/>
          </w:tcPr>
          <w:p w14:paraId="252FB47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1项不符合扣2分</w:t>
            </w:r>
          </w:p>
        </w:tc>
        <w:tc>
          <w:tcPr>
            <w:tcW w:w="530" w:type="dxa"/>
            <w:vAlign w:val="center"/>
          </w:tcPr>
          <w:p w14:paraId="23DFE66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8</w:t>
            </w:r>
          </w:p>
        </w:tc>
      </w:tr>
      <w:tr w14:paraId="5230FC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832" w:type="dxa"/>
            <w:vAlign w:val="center"/>
          </w:tcPr>
          <w:p w14:paraId="7F4C4A0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5</w:t>
            </w:r>
          </w:p>
        </w:tc>
        <w:tc>
          <w:tcPr>
            <w:tcW w:w="2483" w:type="dxa"/>
            <w:vAlign w:val="center"/>
          </w:tcPr>
          <w:p w14:paraId="19DDD0AD">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机械排水设施应符合下列规定：</w:t>
            </w:r>
          </w:p>
          <w:p w14:paraId="52AD0859">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1、应设工作水泵和备用水泵；工作水泵就能在20h内排出一昼夜正常涌水量，全部水泵应能在20h内排出一昼夜的设计最大排水量；</w:t>
            </w:r>
          </w:p>
          <w:p w14:paraId="67DA9708">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2、应高性能工作排水管路和备用排水管路。工作排水管 路应能配合工作水泵在20h内排出一昼夜正常涌水量；全部排水管路应能配合工作水泵和备用水泵在20h内排出一昼夜正常涌水量。任意一条排水管路检修时，其他排水管路应能完成正常排水任务。</w:t>
            </w:r>
          </w:p>
        </w:tc>
        <w:tc>
          <w:tcPr>
            <w:tcW w:w="1567" w:type="dxa"/>
            <w:vAlign w:val="center"/>
          </w:tcPr>
          <w:p w14:paraId="735E51ED">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GB16423-2020</w:t>
            </w:r>
          </w:p>
          <w:p w14:paraId="1BA5884B">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5.7.1.5</w:t>
            </w:r>
          </w:p>
        </w:tc>
        <w:tc>
          <w:tcPr>
            <w:tcW w:w="1084" w:type="dxa"/>
            <w:vAlign w:val="center"/>
          </w:tcPr>
          <w:p w14:paraId="1435AB17">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对照设计</w:t>
            </w:r>
          </w:p>
          <w:p w14:paraId="03DA9A75">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检查现场</w:t>
            </w:r>
          </w:p>
        </w:tc>
        <w:tc>
          <w:tcPr>
            <w:tcW w:w="1466" w:type="dxa"/>
            <w:vAlign w:val="center"/>
          </w:tcPr>
          <w:p w14:paraId="05B267F5">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不涉及</w:t>
            </w:r>
          </w:p>
        </w:tc>
        <w:tc>
          <w:tcPr>
            <w:tcW w:w="534" w:type="dxa"/>
            <w:vAlign w:val="center"/>
          </w:tcPr>
          <w:p w14:paraId="36C0626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4</w:t>
            </w:r>
          </w:p>
        </w:tc>
        <w:tc>
          <w:tcPr>
            <w:tcW w:w="792" w:type="dxa"/>
            <w:vAlign w:val="center"/>
          </w:tcPr>
          <w:p w14:paraId="56DC052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1项不符合扣2分</w:t>
            </w:r>
          </w:p>
        </w:tc>
        <w:tc>
          <w:tcPr>
            <w:tcW w:w="530" w:type="dxa"/>
            <w:vAlign w:val="center"/>
          </w:tcPr>
          <w:p w14:paraId="53D9401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w:t>
            </w:r>
          </w:p>
        </w:tc>
      </w:tr>
      <w:tr w14:paraId="6F86F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832" w:type="dxa"/>
            <w:vAlign w:val="center"/>
          </w:tcPr>
          <w:p w14:paraId="22DDB197">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小计</w:t>
            </w:r>
          </w:p>
        </w:tc>
        <w:tc>
          <w:tcPr>
            <w:tcW w:w="2483" w:type="dxa"/>
            <w:vAlign w:val="center"/>
          </w:tcPr>
          <w:p w14:paraId="3097CDBE">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color w:val="auto"/>
                <w:sz w:val="21"/>
                <w:szCs w:val="21"/>
                <w:vertAlign w:val="baseline"/>
                <w:lang w:val="en-US" w:eastAsia="zh-CN"/>
              </w:rPr>
            </w:pPr>
          </w:p>
        </w:tc>
        <w:tc>
          <w:tcPr>
            <w:tcW w:w="1567" w:type="dxa"/>
            <w:vAlign w:val="center"/>
          </w:tcPr>
          <w:p w14:paraId="54DDCC7D">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p>
        </w:tc>
        <w:tc>
          <w:tcPr>
            <w:tcW w:w="1084" w:type="dxa"/>
            <w:vAlign w:val="center"/>
          </w:tcPr>
          <w:p w14:paraId="560440A0">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p>
        </w:tc>
        <w:tc>
          <w:tcPr>
            <w:tcW w:w="1466" w:type="dxa"/>
            <w:vAlign w:val="center"/>
          </w:tcPr>
          <w:p w14:paraId="27DA9993">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p>
        </w:tc>
        <w:tc>
          <w:tcPr>
            <w:tcW w:w="534" w:type="dxa"/>
            <w:vAlign w:val="center"/>
          </w:tcPr>
          <w:p w14:paraId="0B7B59A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24</w:t>
            </w:r>
          </w:p>
        </w:tc>
        <w:tc>
          <w:tcPr>
            <w:tcW w:w="792" w:type="dxa"/>
            <w:vAlign w:val="center"/>
          </w:tcPr>
          <w:p w14:paraId="6013C58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olor w:val="auto"/>
                <w:sz w:val="21"/>
                <w:szCs w:val="21"/>
                <w:vertAlign w:val="baseline"/>
                <w:lang w:val="en-US" w:eastAsia="zh-CN"/>
              </w:rPr>
            </w:pPr>
          </w:p>
        </w:tc>
        <w:tc>
          <w:tcPr>
            <w:tcW w:w="530" w:type="dxa"/>
            <w:vAlign w:val="center"/>
          </w:tcPr>
          <w:p w14:paraId="502FE4C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24</w:t>
            </w:r>
          </w:p>
        </w:tc>
      </w:tr>
    </w:tbl>
    <w:p w14:paraId="5C465D69">
      <w:pPr>
        <w:pStyle w:val="4"/>
        <w:bidi w:val="0"/>
        <w:rPr>
          <w:rFonts w:hint="default"/>
          <w:color w:val="auto"/>
          <w:lang w:val="en-US" w:eastAsia="zh-CN"/>
        </w:rPr>
      </w:pPr>
      <w:bookmarkStart w:id="312" w:name="_Toc30458"/>
      <w:bookmarkStart w:id="313" w:name="_Toc13805"/>
      <w:bookmarkStart w:id="314" w:name="_Toc27269"/>
      <w:r>
        <w:rPr>
          <w:rFonts w:hint="eastAsia"/>
          <w:color w:val="auto"/>
          <w:lang w:val="en-US" w:eastAsia="zh-CN"/>
        </w:rPr>
        <w:t>5.5.2 评价小结</w:t>
      </w:r>
      <w:bookmarkEnd w:id="312"/>
      <w:bookmarkEnd w:id="313"/>
      <w:bookmarkEnd w:id="314"/>
    </w:p>
    <w:p w14:paraId="468BC94E">
      <w:pPr>
        <w:rPr>
          <w:rFonts w:hint="default"/>
          <w:color w:val="auto"/>
          <w:lang w:val="en-US" w:eastAsia="zh-CN"/>
        </w:rPr>
      </w:pPr>
      <w:r>
        <w:rPr>
          <w:rFonts w:hint="default"/>
          <w:color w:val="auto"/>
          <w:lang w:val="en-US" w:eastAsia="zh-CN"/>
        </w:rPr>
        <w:t>江西省坤育矿业有限公司德安县聂桥镇刘家山矿区建筑用辉绿岩矿露天开采</w:t>
      </w:r>
      <w:r>
        <w:rPr>
          <w:rFonts w:hint="eastAsia"/>
          <w:color w:val="auto"/>
          <w:lang w:val="en-US" w:eastAsia="zh-CN"/>
        </w:rPr>
        <w:t>工程</w:t>
      </w:r>
      <w:r>
        <w:rPr>
          <w:rFonts w:hint="default"/>
          <w:color w:val="auto"/>
          <w:lang w:val="en-US" w:eastAsia="zh-CN"/>
        </w:rPr>
        <w:t>防排水单元检查表中无否决项，一般项总分24分，</w:t>
      </w:r>
      <w:r>
        <w:rPr>
          <w:rFonts w:hint="eastAsia"/>
          <w:color w:val="auto"/>
          <w:lang w:val="en-US" w:eastAsia="zh-CN"/>
        </w:rPr>
        <w:t>得分</w:t>
      </w:r>
      <w:r>
        <w:rPr>
          <w:rFonts w:hint="default"/>
          <w:color w:val="auto"/>
          <w:lang w:val="en-US" w:eastAsia="zh-CN"/>
        </w:rPr>
        <w:t>2</w:t>
      </w:r>
      <w:r>
        <w:rPr>
          <w:rFonts w:hint="eastAsia"/>
          <w:color w:val="auto"/>
          <w:lang w:val="en-US" w:eastAsia="zh-CN"/>
        </w:rPr>
        <w:t>4</w:t>
      </w:r>
      <w:r>
        <w:rPr>
          <w:rFonts w:hint="default"/>
          <w:color w:val="auto"/>
          <w:lang w:val="en-US" w:eastAsia="zh-CN"/>
        </w:rPr>
        <w:t>分，得分率为</w:t>
      </w:r>
      <w:r>
        <w:rPr>
          <w:rFonts w:hint="eastAsia"/>
          <w:color w:val="auto"/>
          <w:lang w:val="en-US" w:eastAsia="zh-CN"/>
        </w:rPr>
        <w:t>100</w:t>
      </w:r>
      <w:r>
        <w:rPr>
          <w:rFonts w:hint="default"/>
          <w:color w:val="auto"/>
          <w:lang w:val="en-US" w:eastAsia="zh-CN"/>
        </w:rPr>
        <w:t>%，说明江西省坤育矿业有限公司德安县聂桥镇刘家山矿区建筑用辉绿岩矿露天开采</w:t>
      </w:r>
      <w:r>
        <w:rPr>
          <w:rFonts w:hint="eastAsia"/>
          <w:color w:val="auto"/>
          <w:lang w:val="en-US" w:eastAsia="zh-CN"/>
        </w:rPr>
        <w:t>工程</w:t>
      </w:r>
      <w:r>
        <w:rPr>
          <w:rFonts w:hint="default"/>
          <w:color w:val="auto"/>
          <w:lang w:val="en-US" w:eastAsia="zh-CN"/>
        </w:rPr>
        <w:t>防排水单元具备安全生产条件。</w:t>
      </w:r>
    </w:p>
    <w:p w14:paraId="0FECE6E9">
      <w:pPr>
        <w:pStyle w:val="3"/>
        <w:bidi w:val="0"/>
        <w:rPr>
          <w:rFonts w:hint="default"/>
          <w:color w:val="auto"/>
          <w:lang w:val="en-US" w:eastAsia="zh-CN"/>
        </w:rPr>
      </w:pPr>
      <w:bookmarkStart w:id="315" w:name="_Toc30532"/>
      <w:bookmarkStart w:id="316" w:name="_Toc21240"/>
      <w:bookmarkStart w:id="317" w:name="_Toc4503"/>
      <w:r>
        <w:rPr>
          <w:rFonts w:hint="eastAsia"/>
          <w:color w:val="auto"/>
          <w:lang w:val="en-US" w:eastAsia="zh-CN"/>
        </w:rPr>
        <w:t>5.6 防灭火单元</w:t>
      </w:r>
      <w:bookmarkEnd w:id="315"/>
      <w:bookmarkEnd w:id="316"/>
      <w:bookmarkEnd w:id="317"/>
    </w:p>
    <w:p w14:paraId="0E8E5C0C">
      <w:pPr>
        <w:pStyle w:val="4"/>
        <w:bidi w:val="0"/>
        <w:rPr>
          <w:rFonts w:hint="default"/>
          <w:color w:val="auto"/>
          <w:lang w:val="en-US" w:eastAsia="zh-CN"/>
        </w:rPr>
      </w:pPr>
      <w:bookmarkStart w:id="318" w:name="_Toc23749"/>
      <w:bookmarkStart w:id="319" w:name="_Toc31717"/>
      <w:bookmarkStart w:id="320" w:name="_Toc28403"/>
      <w:r>
        <w:rPr>
          <w:rFonts w:hint="eastAsia"/>
          <w:color w:val="auto"/>
          <w:lang w:val="en-US" w:eastAsia="zh-CN"/>
        </w:rPr>
        <w:t>5.6.1 防灭火安全检查表</w:t>
      </w:r>
      <w:bookmarkEnd w:id="318"/>
      <w:bookmarkEnd w:id="319"/>
      <w:bookmarkEnd w:id="320"/>
    </w:p>
    <w:p w14:paraId="545B163D">
      <w:pPr>
        <w:rPr>
          <w:rFonts w:hint="default"/>
          <w:color w:val="auto"/>
          <w:lang w:val="en-US" w:eastAsia="zh-CN"/>
        </w:rPr>
      </w:pPr>
      <w:r>
        <w:rPr>
          <w:rFonts w:hint="default"/>
          <w:color w:val="auto"/>
          <w:lang w:val="en-US" w:eastAsia="zh-CN"/>
        </w:rPr>
        <w:t>防灭火安全检查表见表5.</w:t>
      </w:r>
      <w:r>
        <w:rPr>
          <w:rFonts w:hint="eastAsia"/>
          <w:color w:val="auto"/>
          <w:lang w:val="en-US" w:eastAsia="zh-CN"/>
        </w:rPr>
        <w:t>6</w:t>
      </w:r>
      <w:r>
        <w:rPr>
          <w:rFonts w:hint="default"/>
          <w:color w:val="auto"/>
          <w:lang w:val="en-US" w:eastAsia="zh-CN"/>
        </w:rPr>
        <w:t>-1。</w:t>
      </w:r>
    </w:p>
    <w:p w14:paraId="67190945">
      <w:pPr>
        <w:ind w:left="0" w:leftChars="0" w:firstLine="0" w:firstLineChars="0"/>
        <w:jc w:val="center"/>
        <w:rPr>
          <w:rFonts w:hint="eastAsia"/>
          <w:color w:val="auto"/>
          <w:lang w:val="en-US" w:eastAsia="zh-CN"/>
        </w:rPr>
      </w:pPr>
      <w:r>
        <w:rPr>
          <w:rFonts w:hint="default"/>
          <w:color w:val="auto"/>
          <w:lang w:val="en-US" w:eastAsia="zh-CN"/>
        </w:rPr>
        <w:t>表5.</w:t>
      </w:r>
      <w:r>
        <w:rPr>
          <w:rFonts w:hint="eastAsia"/>
          <w:color w:val="auto"/>
          <w:lang w:val="en-US" w:eastAsia="zh-CN"/>
        </w:rPr>
        <w:t>6</w:t>
      </w:r>
      <w:r>
        <w:rPr>
          <w:rFonts w:hint="default"/>
          <w:color w:val="auto"/>
          <w:lang w:val="en-US" w:eastAsia="zh-CN"/>
        </w:rPr>
        <w:t>-1</w:t>
      </w:r>
      <w:r>
        <w:rPr>
          <w:rFonts w:hint="eastAsia"/>
          <w:color w:val="auto"/>
          <w:lang w:val="en-US" w:eastAsia="zh-CN"/>
        </w:rPr>
        <w:t xml:space="preserve"> 防</w:t>
      </w:r>
      <w:r>
        <w:rPr>
          <w:rFonts w:hint="default"/>
          <w:color w:val="auto"/>
          <w:lang w:val="en-US" w:eastAsia="zh-CN"/>
        </w:rPr>
        <w:t>灭火</w:t>
      </w:r>
      <w:r>
        <w:rPr>
          <w:rFonts w:hint="eastAsia"/>
          <w:color w:val="auto"/>
          <w:lang w:val="en-US" w:eastAsia="zh-CN"/>
        </w:rPr>
        <w:t>安全检查表</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8"/>
        <w:gridCol w:w="2377"/>
        <w:gridCol w:w="1547"/>
        <w:gridCol w:w="1084"/>
        <w:gridCol w:w="1385"/>
        <w:gridCol w:w="669"/>
        <w:gridCol w:w="738"/>
        <w:gridCol w:w="530"/>
      </w:tblGrid>
      <w:tr w14:paraId="084F3A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8" w:type="dxa"/>
            <w:vAlign w:val="center"/>
          </w:tcPr>
          <w:p w14:paraId="7AB6BF4B">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b/>
                <w:bCs/>
                <w:color w:val="auto"/>
                <w:sz w:val="21"/>
                <w:szCs w:val="21"/>
                <w:vertAlign w:val="baseline"/>
                <w:lang w:val="en-US" w:eastAsia="zh-CN"/>
              </w:rPr>
            </w:pPr>
            <w:r>
              <w:rPr>
                <w:rFonts w:hint="eastAsia"/>
                <w:b/>
                <w:bCs/>
                <w:color w:val="auto"/>
                <w:sz w:val="21"/>
                <w:szCs w:val="21"/>
                <w:vertAlign w:val="baseline"/>
                <w:lang w:val="en-US" w:eastAsia="zh-CN"/>
              </w:rPr>
              <w:t>序号</w:t>
            </w:r>
          </w:p>
        </w:tc>
        <w:tc>
          <w:tcPr>
            <w:tcW w:w="2377" w:type="dxa"/>
            <w:vAlign w:val="center"/>
          </w:tcPr>
          <w:p w14:paraId="3360DD9E">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b/>
                <w:bCs/>
                <w:color w:val="auto"/>
                <w:sz w:val="21"/>
                <w:szCs w:val="21"/>
                <w:vertAlign w:val="baseline"/>
                <w:lang w:val="en-US" w:eastAsia="zh-CN"/>
              </w:rPr>
            </w:pPr>
            <w:r>
              <w:rPr>
                <w:rFonts w:hint="eastAsia"/>
                <w:b/>
                <w:bCs/>
                <w:color w:val="auto"/>
                <w:sz w:val="21"/>
                <w:szCs w:val="21"/>
                <w:vertAlign w:val="baseline"/>
                <w:lang w:val="en-US" w:eastAsia="zh-CN"/>
              </w:rPr>
              <w:t>检查内容</w:t>
            </w:r>
          </w:p>
        </w:tc>
        <w:tc>
          <w:tcPr>
            <w:tcW w:w="1547" w:type="dxa"/>
            <w:vAlign w:val="center"/>
          </w:tcPr>
          <w:p w14:paraId="4B95F78A">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b/>
                <w:bCs/>
                <w:color w:val="auto"/>
                <w:sz w:val="21"/>
                <w:szCs w:val="21"/>
                <w:vertAlign w:val="baseline"/>
                <w:lang w:val="en-US" w:eastAsia="zh-CN"/>
              </w:rPr>
            </w:pPr>
            <w:r>
              <w:rPr>
                <w:rFonts w:hint="default"/>
                <w:b/>
                <w:bCs/>
                <w:color w:val="auto"/>
                <w:sz w:val="21"/>
                <w:szCs w:val="21"/>
                <w:vertAlign w:val="baseline"/>
                <w:lang w:val="en-US" w:eastAsia="zh-CN"/>
              </w:rPr>
              <w:t>检查依据</w:t>
            </w:r>
          </w:p>
        </w:tc>
        <w:tc>
          <w:tcPr>
            <w:tcW w:w="1084" w:type="dxa"/>
            <w:vAlign w:val="center"/>
          </w:tcPr>
          <w:p w14:paraId="4B2105B7">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b/>
                <w:bCs/>
                <w:color w:val="auto"/>
                <w:sz w:val="21"/>
                <w:szCs w:val="21"/>
                <w:vertAlign w:val="baseline"/>
                <w:lang w:val="en-US" w:eastAsia="zh-CN"/>
              </w:rPr>
            </w:pPr>
            <w:r>
              <w:rPr>
                <w:rFonts w:hint="default"/>
                <w:b/>
                <w:bCs/>
                <w:color w:val="auto"/>
                <w:sz w:val="21"/>
                <w:szCs w:val="21"/>
                <w:vertAlign w:val="baseline"/>
                <w:lang w:val="en-US" w:eastAsia="zh-CN"/>
              </w:rPr>
              <w:t>检查方法及地点</w:t>
            </w:r>
          </w:p>
        </w:tc>
        <w:tc>
          <w:tcPr>
            <w:tcW w:w="1385" w:type="dxa"/>
            <w:vAlign w:val="center"/>
          </w:tcPr>
          <w:p w14:paraId="6AB02D33">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b/>
                <w:bCs/>
                <w:color w:val="auto"/>
                <w:sz w:val="21"/>
                <w:szCs w:val="21"/>
                <w:vertAlign w:val="baseline"/>
                <w:lang w:val="en-US" w:eastAsia="zh-CN"/>
              </w:rPr>
            </w:pPr>
            <w:r>
              <w:rPr>
                <w:rFonts w:hint="default"/>
                <w:b/>
                <w:bCs/>
                <w:color w:val="auto"/>
                <w:sz w:val="21"/>
                <w:szCs w:val="21"/>
                <w:vertAlign w:val="baseline"/>
                <w:lang w:val="en-US" w:eastAsia="zh-CN"/>
              </w:rPr>
              <w:t>检查</w:t>
            </w:r>
          </w:p>
          <w:p w14:paraId="01679795">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b/>
                <w:bCs/>
                <w:color w:val="auto"/>
                <w:sz w:val="21"/>
                <w:szCs w:val="21"/>
                <w:vertAlign w:val="baseline"/>
                <w:lang w:val="en-US" w:eastAsia="zh-CN"/>
              </w:rPr>
            </w:pPr>
            <w:r>
              <w:rPr>
                <w:rFonts w:hint="default"/>
                <w:b/>
                <w:bCs/>
                <w:color w:val="auto"/>
                <w:sz w:val="21"/>
                <w:szCs w:val="21"/>
                <w:vertAlign w:val="baseline"/>
                <w:lang w:val="en-US" w:eastAsia="zh-CN"/>
              </w:rPr>
              <w:t>记录</w:t>
            </w:r>
          </w:p>
        </w:tc>
        <w:tc>
          <w:tcPr>
            <w:tcW w:w="669" w:type="dxa"/>
            <w:vAlign w:val="center"/>
          </w:tcPr>
          <w:p w14:paraId="1F8FBDBF">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b/>
                <w:bCs/>
                <w:color w:val="auto"/>
                <w:sz w:val="21"/>
                <w:szCs w:val="21"/>
                <w:vertAlign w:val="baseline"/>
                <w:lang w:val="en-US" w:eastAsia="zh-CN"/>
              </w:rPr>
            </w:pPr>
            <w:r>
              <w:rPr>
                <w:rFonts w:hint="default"/>
                <w:b/>
                <w:bCs/>
                <w:color w:val="auto"/>
                <w:sz w:val="21"/>
                <w:szCs w:val="21"/>
                <w:vertAlign w:val="baseline"/>
                <w:lang w:val="en-US" w:eastAsia="zh-CN"/>
              </w:rPr>
              <w:t>标准</w:t>
            </w:r>
          </w:p>
          <w:p w14:paraId="59A484BE">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b/>
                <w:bCs/>
                <w:color w:val="auto"/>
                <w:sz w:val="21"/>
                <w:szCs w:val="21"/>
                <w:vertAlign w:val="baseline"/>
                <w:lang w:val="en-US" w:eastAsia="zh-CN"/>
              </w:rPr>
            </w:pPr>
            <w:r>
              <w:rPr>
                <w:rFonts w:hint="default"/>
                <w:b/>
                <w:bCs/>
                <w:color w:val="auto"/>
                <w:sz w:val="21"/>
                <w:szCs w:val="21"/>
                <w:vertAlign w:val="baseline"/>
                <w:lang w:val="en-US" w:eastAsia="zh-CN"/>
              </w:rPr>
              <w:t>分值</w:t>
            </w:r>
          </w:p>
        </w:tc>
        <w:tc>
          <w:tcPr>
            <w:tcW w:w="738" w:type="dxa"/>
            <w:vAlign w:val="center"/>
          </w:tcPr>
          <w:p w14:paraId="254130A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b/>
                <w:bCs/>
                <w:color w:val="auto"/>
                <w:sz w:val="21"/>
                <w:szCs w:val="21"/>
                <w:vertAlign w:val="baseline"/>
                <w:lang w:val="en-US" w:eastAsia="zh-CN"/>
              </w:rPr>
            </w:pPr>
            <w:r>
              <w:rPr>
                <w:rFonts w:hint="default"/>
                <w:b/>
                <w:bCs/>
                <w:color w:val="auto"/>
                <w:sz w:val="21"/>
                <w:szCs w:val="21"/>
                <w:vertAlign w:val="baseline"/>
                <w:lang w:val="en-US" w:eastAsia="zh-CN"/>
              </w:rPr>
              <w:t>评分</w:t>
            </w:r>
          </w:p>
          <w:p w14:paraId="0E4EC90A">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b/>
                <w:bCs/>
                <w:color w:val="auto"/>
                <w:sz w:val="21"/>
                <w:szCs w:val="21"/>
                <w:vertAlign w:val="baseline"/>
                <w:lang w:val="en-US" w:eastAsia="zh-CN"/>
              </w:rPr>
            </w:pPr>
            <w:r>
              <w:rPr>
                <w:rFonts w:hint="default"/>
                <w:b/>
                <w:bCs/>
                <w:color w:val="auto"/>
                <w:sz w:val="21"/>
                <w:szCs w:val="21"/>
                <w:vertAlign w:val="baseline"/>
                <w:lang w:val="en-US" w:eastAsia="zh-CN"/>
              </w:rPr>
              <w:t>标准</w:t>
            </w:r>
          </w:p>
        </w:tc>
        <w:tc>
          <w:tcPr>
            <w:tcW w:w="530" w:type="dxa"/>
            <w:vAlign w:val="center"/>
          </w:tcPr>
          <w:p w14:paraId="51F91637">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b/>
                <w:bCs/>
                <w:color w:val="auto"/>
                <w:sz w:val="21"/>
                <w:szCs w:val="21"/>
                <w:vertAlign w:val="baseline"/>
                <w:lang w:val="en-US" w:eastAsia="zh-CN"/>
              </w:rPr>
            </w:pPr>
            <w:r>
              <w:rPr>
                <w:rFonts w:hint="eastAsia"/>
                <w:b/>
                <w:bCs/>
                <w:color w:val="auto"/>
                <w:sz w:val="21"/>
                <w:szCs w:val="21"/>
                <w:vertAlign w:val="baseline"/>
                <w:lang w:val="en-US" w:eastAsia="zh-CN"/>
              </w:rPr>
              <w:t>得分</w:t>
            </w:r>
          </w:p>
        </w:tc>
      </w:tr>
      <w:tr w14:paraId="7EA233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4" w:hRule="atLeast"/>
          <w:jc w:val="center"/>
        </w:trPr>
        <w:tc>
          <w:tcPr>
            <w:tcW w:w="958" w:type="dxa"/>
            <w:vAlign w:val="center"/>
          </w:tcPr>
          <w:p w14:paraId="2CC3C40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1</w:t>
            </w:r>
          </w:p>
        </w:tc>
        <w:tc>
          <w:tcPr>
            <w:tcW w:w="2377" w:type="dxa"/>
            <w:vAlign w:val="center"/>
          </w:tcPr>
          <w:p w14:paraId="4FE58B7B">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矿山建构筑物应建立消防设施，设置消防器材。</w:t>
            </w:r>
          </w:p>
        </w:tc>
        <w:tc>
          <w:tcPr>
            <w:tcW w:w="1547" w:type="dxa"/>
            <w:vAlign w:val="center"/>
          </w:tcPr>
          <w:p w14:paraId="332E9369">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GB16423-2020</w:t>
            </w:r>
          </w:p>
          <w:p w14:paraId="5A93AC91">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5.7.1.1</w:t>
            </w:r>
          </w:p>
        </w:tc>
        <w:tc>
          <w:tcPr>
            <w:tcW w:w="1084" w:type="dxa"/>
            <w:vAlign w:val="center"/>
          </w:tcPr>
          <w:p w14:paraId="4DE302AF">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查看资料、生产现场</w:t>
            </w:r>
          </w:p>
        </w:tc>
        <w:tc>
          <w:tcPr>
            <w:tcW w:w="1385" w:type="dxa"/>
            <w:vAlign w:val="center"/>
          </w:tcPr>
          <w:p w14:paraId="3EE3BDF3">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建构筑物</w:t>
            </w:r>
            <w:r>
              <w:rPr>
                <w:rFonts w:hint="eastAsia"/>
                <w:color w:val="auto"/>
                <w:sz w:val="21"/>
                <w:szCs w:val="21"/>
                <w:vertAlign w:val="baseline"/>
                <w:lang w:val="en-US" w:eastAsia="zh-CN"/>
              </w:rPr>
              <w:t>已</w:t>
            </w:r>
            <w:r>
              <w:rPr>
                <w:rFonts w:hint="default"/>
                <w:color w:val="auto"/>
                <w:sz w:val="21"/>
                <w:szCs w:val="21"/>
                <w:vertAlign w:val="baseline"/>
                <w:lang w:val="en-US" w:eastAsia="zh-CN"/>
              </w:rPr>
              <w:t>建立消防设施，设置</w:t>
            </w:r>
            <w:r>
              <w:rPr>
                <w:rFonts w:hint="eastAsia"/>
                <w:color w:val="auto"/>
                <w:sz w:val="21"/>
                <w:szCs w:val="21"/>
                <w:vertAlign w:val="baseline"/>
                <w:lang w:val="en-US" w:eastAsia="zh-CN"/>
              </w:rPr>
              <w:t>了</w:t>
            </w:r>
            <w:r>
              <w:rPr>
                <w:rFonts w:hint="default"/>
                <w:color w:val="auto"/>
                <w:sz w:val="21"/>
                <w:szCs w:val="21"/>
                <w:vertAlign w:val="baseline"/>
                <w:lang w:val="en-US" w:eastAsia="zh-CN"/>
              </w:rPr>
              <w:t>消防器材。</w:t>
            </w:r>
          </w:p>
        </w:tc>
        <w:tc>
          <w:tcPr>
            <w:tcW w:w="669" w:type="dxa"/>
            <w:vAlign w:val="center"/>
          </w:tcPr>
          <w:p w14:paraId="230A5F7A">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2</w:t>
            </w:r>
          </w:p>
        </w:tc>
        <w:tc>
          <w:tcPr>
            <w:tcW w:w="738" w:type="dxa"/>
            <w:vAlign w:val="center"/>
          </w:tcPr>
          <w:p w14:paraId="714EFE4E">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不符合扣2分</w:t>
            </w:r>
          </w:p>
        </w:tc>
        <w:tc>
          <w:tcPr>
            <w:tcW w:w="530" w:type="dxa"/>
            <w:vAlign w:val="center"/>
          </w:tcPr>
          <w:p w14:paraId="6C820690">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2</w:t>
            </w:r>
          </w:p>
        </w:tc>
      </w:tr>
      <w:tr w14:paraId="313FB7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jc w:val="center"/>
        </w:trPr>
        <w:tc>
          <w:tcPr>
            <w:tcW w:w="958" w:type="dxa"/>
            <w:vAlign w:val="center"/>
          </w:tcPr>
          <w:p w14:paraId="0AF74AF9">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2</w:t>
            </w:r>
          </w:p>
        </w:tc>
        <w:tc>
          <w:tcPr>
            <w:tcW w:w="2377" w:type="dxa"/>
            <w:vAlign w:val="center"/>
          </w:tcPr>
          <w:p w14:paraId="25E3294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露天矿用设备应配备灭火器。</w:t>
            </w:r>
          </w:p>
        </w:tc>
        <w:tc>
          <w:tcPr>
            <w:tcW w:w="1547" w:type="dxa"/>
            <w:vAlign w:val="center"/>
          </w:tcPr>
          <w:p w14:paraId="31561BF3">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GB16423-2020</w:t>
            </w:r>
          </w:p>
          <w:p w14:paraId="104072F8">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5.7.1.2</w:t>
            </w:r>
          </w:p>
        </w:tc>
        <w:tc>
          <w:tcPr>
            <w:tcW w:w="1084" w:type="dxa"/>
            <w:vAlign w:val="center"/>
          </w:tcPr>
          <w:p w14:paraId="65F8B2D6">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查看资料、生产现场</w:t>
            </w:r>
          </w:p>
        </w:tc>
        <w:tc>
          <w:tcPr>
            <w:tcW w:w="1385" w:type="dxa"/>
            <w:vAlign w:val="center"/>
          </w:tcPr>
          <w:p w14:paraId="016F5F8A">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露天矿用设备均配备了灭火器</w:t>
            </w:r>
          </w:p>
        </w:tc>
        <w:tc>
          <w:tcPr>
            <w:tcW w:w="669" w:type="dxa"/>
            <w:vAlign w:val="center"/>
          </w:tcPr>
          <w:p w14:paraId="5BD3DE56">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2</w:t>
            </w:r>
          </w:p>
        </w:tc>
        <w:tc>
          <w:tcPr>
            <w:tcW w:w="738" w:type="dxa"/>
            <w:vAlign w:val="center"/>
          </w:tcPr>
          <w:p w14:paraId="77F930F3">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不符合扣2分</w:t>
            </w:r>
          </w:p>
        </w:tc>
        <w:tc>
          <w:tcPr>
            <w:tcW w:w="530" w:type="dxa"/>
            <w:vAlign w:val="center"/>
          </w:tcPr>
          <w:p w14:paraId="4252D52B">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2</w:t>
            </w:r>
          </w:p>
        </w:tc>
      </w:tr>
      <w:tr w14:paraId="1BBE1D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8" w:hRule="atLeast"/>
          <w:jc w:val="center"/>
        </w:trPr>
        <w:tc>
          <w:tcPr>
            <w:tcW w:w="958" w:type="dxa"/>
            <w:vAlign w:val="center"/>
          </w:tcPr>
          <w:p w14:paraId="4589474F">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3</w:t>
            </w:r>
          </w:p>
        </w:tc>
        <w:tc>
          <w:tcPr>
            <w:tcW w:w="2377" w:type="dxa"/>
            <w:vAlign w:val="center"/>
          </w:tcPr>
          <w:p w14:paraId="3866CF9B">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设备加油时严禁吸烟和明火。</w:t>
            </w:r>
          </w:p>
        </w:tc>
        <w:tc>
          <w:tcPr>
            <w:tcW w:w="1547" w:type="dxa"/>
            <w:vAlign w:val="center"/>
          </w:tcPr>
          <w:p w14:paraId="15B7ED23">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GB16423-2020</w:t>
            </w:r>
          </w:p>
          <w:p w14:paraId="63511189">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5.7.1.3</w:t>
            </w:r>
          </w:p>
        </w:tc>
        <w:tc>
          <w:tcPr>
            <w:tcW w:w="1084" w:type="dxa"/>
            <w:vAlign w:val="center"/>
          </w:tcPr>
          <w:p w14:paraId="3BC430F1">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查看资料、生产现场</w:t>
            </w:r>
          </w:p>
        </w:tc>
        <w:tc>
          <w:tcPr>
            <w:tcW w:w="1385" w:type="dxa"/>
            <w:vAlign w:val="center"/>
          </w:tcPr>
          <w:p w14:paraId="6FC83350">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不涉及</w:t>
            </w:r>
          </w:p>
        </w:tc>
        <w:tc>
          <w:tcPr>
            <w:tcW w:w="669" w:type="dxa"/>
            <w:vAlign w:val="center"/>
          </w:tcPr>
          <w:p w14:paraId="2170EB98">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2</w:t>
            </w:r>
          </w:p>
        </w:tc>
        <w:tc>
          <w:tcPr>
            <w:tcW w:w="738" w:type="dxa"/>
            <w:vAlign w:val="center"/>
          </w:tcPr>
          <w:p w14:paraId="0487B947">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不符合扣2分</w:t>
            </w:r>
          </w:p>
        </w:tc>
        <w:tc>
          <w:tcPr>
            <w:tcW w:w="530" w:type="dxa"/>
            <w:vAlign w:val="center"/>
          </w:tcPr>
          <w:p w14:paraId="2141CA90">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w:t>
            </w:r>
          </w:p>
        </w:tc>
      </w:tr>
      <w:tr w14:paraId="210DB1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2" w:hRule="atLeast"/>
          <w:jc w:val="center"/>
        </w:trPr>
        <w:tc>
          <w:tcPr>
            <w:tcW w:w="958" w:type="dxa"/>
            <w:vAlign w:val="center"/>
          </w:tcPr>
          <w:p w14:paraId="2439871C">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4</w:t>
            </w:r>
          </w:p>
        </w:tc>
        <w:tc>
          <w:tcPr>
            <w:tcW w:w="2377" w:type="dxa"/>
            <w:vAlign w:val="center"/>
          </w:tcPr>
          <w:p w14:paraId="7431042A">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露天矿用设备上严禁存放汽油和其他易燃易爆品</w:t>
            </w:r>
            <w:r>
              <w:rPr>
                <w:rFonts w:hint="eastAsia"/>
                <w:color w:val="auto"/>
                <w:sz w:val="21"/>
                <w:szCs w:val="21"/>
                <w:vertAlign w:val="baseline"/>
                <w:lang w:val="en-US" w:eastAsia="zh-CN"/>
              </w:rPr>
              <w:t>。</w:t>
            </w:r>
          </w:p>
        </w:tc>
        <w:tc>
          <w:tcPr>
            <w:tcW w:w="1547" w:type="dxa"/>
            <w:vAlign w:val="center"/>
          </w:tcPr>
          <w:p w14:paraId="72C0780A">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GB16423-2020</w:t>
            </w:r>
          </w:p>
          <w:p w14:paraId="1A94281A">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5.7.1.4</w:t>
            </w:r>
          </w:p>
        </w:tc>
        <w:tc>
          <w:tcPr>
            <w:tcW w:w="1084" w:type="dxa"/>
            <w:vAlign w:val="center"/>
          </w:tcPr>
          <w:p w14:paraId="2F600EAD">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查看资料、生产现场</w:t>
            </w:r>
          </w:p>
        </w:tc>
        <w:tc>
          <w:tcPr>
            <w:tcW w:w="1385" w:type="dxa"/>
            <w:vAlign w:val="center"/>
          </w:tcPr>
          <w:p w14:paraId="5541D4F6">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未存放汽油和易燃易爆品</w:t>
            </w:r>
          </w:p>
        </w:tc>
        <w:tc>
          <w:tcPr>
            <w:tcW w:w="669" w:type="dxa"/>
            <w:vAlign w:val="center"/>
          </w:tcPr>
          <w:p w14:paraId="011A8049">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2</w:t>
            </w:r>
          </w:p>
        </w:tc>
        <w:tc>
          <w:tcPr>
            <w:tcW w:w="738" w:type="dxa"/>
            <w:vAlign w:val="center"/>
          </w:tcPr>
          <w:p w14:paraId="4DCB2966">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不符合扣2分</w:t>
            </w:r>
          </w:p>
        </w:tc>
        <w:tc>
          <w:tcPr>
            <w:tcW w:w="530" w:type="dxa"/>
            <w:vAlign w:val="center"/>
          </w:tcPr>
          <w:p w14:paraId="2CF4730D">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2</w:t>
            </w:r>
          </w:p>
        </w:tc>
      </w:tr>
      <w:tr w14:paraId="6BE2D8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6" w:hRule="atLeast"/>
          <w:jc w:val="center"/>
        </w:trPr>
        <w:tc>
          <w:tcPr>
            <w:tcW w:w="958" w:type="dxa"/>
            <w:vAlign w:val="center"/>
          </w:tcPr>
          <w:p w14:paraId="0B4368A0">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5</w:t>
            </w:r>
          </w:p>
        </w:tc>
        <w:tc>
          <w:tcPr>
            <w:tcW w:w="2377" w:type="dxa"/>
            <w:vAlign w:val="center"/>
          </w:tcPr>
          <w:p w14:paraId="46B967E1">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严禁用汽油擦洗设备</w:t>
            </w:r>
            <w:r>
              <w:rPr>
                <w:rFonts w:hint="eastAsia"/>
                <w:color w:val="auto"/>
                <w:sz w:val="21"/>
                <w:szCs w:val="21"/>
                <w:vertAlign w:val="baseline"/>
                <w:lang w:val="en-US" w:eastAsia="zh-CN"/>
              </w:rPr>
              <w:t>。</w:t>
            </w:r>
          </w:p>
        </w:tc>
        <w:tc>
          <w:tcPr>
            <w:tcW w:w="1547" w:type="dxa"/>
            <w:vAlign w:val="center"/>
          </w:tcPr>
          <w:p w14:paraId="5B8CD3CF">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GB16423-2020</w:t>
            </w:r>
          </w:p>
          <w:p w14:paraId="17DA26E1">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5.7.1.5</w:t>
            </w:r>
          </w:p>
        </w:tc>
        <w:tc>
          <w:tcPr>
            <w:tcW w:w="1084" w:type="dxa"/>
            <w:vAlign w:val="center"/>
          </w:tcPr>
          <w:p w14:paraId="62C552B0">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查看资料、生产现场</w:t>
            </w:r>
          </w:p>
        </w:tc>
        <w:tc>
          <w:tcPr>
            <w:tcW w:w="1385" w:type="dxa"/>
            <w:vAlign w:val="center"/>
          </w:tcPr>
          <w:p w14:paraId="4CF56DCC">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未使用</w:t>
            </w:r>
          </w:p>
        </w:tc>
        <w:tc>
          <w:tcPr>
            <w:tcW w:w="669" w:type="dxa"/>
            <w:vAlign w:val="center"/>
          </w:tcPr>
          <w:p w14:paraId="6A7CC5CB">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2</w:t>
            </w:r>
          </w:p>
        </w:tc>
        <w:tc>
          <w:tcPr>
            <w:tcW w:w="738" w:type="dxa"/>
            <w:vAlign w:val="center"/>
          </w:tcPr>
          <w:p w14:paraId="73418B05">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不符合扣2分</w:t>
            </w:r>
          </w:p>
        </w:tc>
        <w:tc>
          <w:tcPr>
            <w:tcW w:w="530" w:type="dxa"/>
            <w:vAlign w:val="center"/>
          </w:tcPr>
          <w:p w14:paraId="08AB83F1">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2</w:t>
            </w:r>
          </w:p>
        </w:tc>
      </w:tr>
      <w:tr w14:paraId="6498B5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3" w:hRule="atLeast"/>
          <w:jc w:val="center"/>
        </w:trPr>
        <w:tc>
          <w:tcPr>
            <w:tcW w:w="958" w:type="dxa"/>
            <w:vAlign w:val="center"/>
          </w:tcPr>
          <w:p w14:paraId="06D7FDF4">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6</w:t>
            </w:r>
          </w:p>
        </w:tc>
        <w:tc>
          <w:tcPr>
            <w:tcW w:w="2377" w:type="dxa"/>
            <w:vAlign w:val="center"/>
          </w:tcPr>
          <w:p w14:paraId="61585386">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易燃易爆物品不应放在轨道接头、电缆接头或接地极附近。废弃的油料、棉纱和易燃物应妥善管理。</w:t>
            </w:r>
          </w:p>
        </w:tc>
        <w:tc>
          <w:tcPr>
            <w:tcW w:w="1547" w:type="dxa"/>
            <w:vAlign w:val="center"/>
          </w:tcPr>
          <w:p w14:paraId="68D7C8EF">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GB16423-2020</w:t>
            </w:r>
          </w:p>
          <w:p w14:paraId="5B92DDB4">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5.7.1.6</w:t>
            </w:r>
          </w:p>
        </w:tc>
        <w:tc>
          <w:tcPr>
            <w:tcW w:w="1084" w:type="dxa"/>
            <w:vAlign w:val="center"/>
          </w:tcPr>
          <w:p w14:paraId="710E75D1">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查看资料、生产现场</w:t>
            </w:r>
          </w:p>
        </w:tc>
        <w:tc>
          <w:tcPr>
            <w:tcW w:w="1385" w:type="dxa"/>
            <w:vAlign w:val="center"/>
          </w:tcPr>
          <w:p w14:paraId="734A714D">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未发现上述现象</w:t>
            </w:r>
          </w:p>
        </w:tc>
        <w:tc>
          <w:tcPr>
            <w:tcW w:w="669" w:type="dxa"/>
            <w:vAlign w:val="center"/>
          </w:tcPr>
          <w:p w14:paraId="08ABA7A6">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2</w:t>
            </w:r>
          </w:p>
        </w:tc>
        <w:tc>
          <w:tcPr>
            <w:tcW w:w="738" w:type="dxa"/>
            <w:vAlign w:val="center"/>
          </w:tcPr>
          <w:p w14:paraId="339259AC">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不符合扣2分</w:t>
            </w:r>
          </w:p>
        </w:tc>
        <w:tc>
          <w:tcPr>
            <w:tcW w:w="530" w:type="dxa"/>
            <w:vAlign w:val="center"/>
          </w:tcPr>
          <w:p w14:paraId="78F7D0F4">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2</w:t>
            </w:r>
          </w:p>
        </w:tc>
      </w:tr>
      <w:tr w14:paraId="730BB6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958" w:type="dxa"/>
            <w:vAlign w:val="center"/>
          </w:tcPr>
          <w:p w14:paraId="52DADFA4">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7</w:t>
            </w:r>
          </w:p>
        </w:tc>
        <w:tc>
          <w:tcPr>
            <w:tcW w:w="2377" w:type="dxa"/>
            <w:vAlign w:val="center"/>
          </w:tcPr>
          <w:p w14:paraId="575BA408">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r>
              <w:rPr>
                <w:rFonts w:hint="default"/>
                <w:color w:val="auto"/>
                <w:sz w:val="21"/>
                <w:szCs w:val="21"/>
                <w:vertAlign w:val="baseline"/>
                <w:lang w:val="en-US" w:eastAsia="zh-CN"/>
              </w:rPr>
              <w:t>木材场、防护用品仓库、民用爆炸物品储存库、氢和乙炔瓶库、石油液化气站和油库等重要场所，应建立防火制度，采取防火、防爆措施，备足消防器材。</w:t>
            </w:r>
          </w:p>
        </w:tc>
        <w:tc>
          <w:tcPr>
            <w:tcW w:w="1547" w:type="dxa"/>
            <w:vAlign w:val="center"/>
          </w:tcPr>
          <w:p w14:paraId="6D86A136">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GB16423-2020</w:t>
            </w:r>
          </w:p>
          <w:p w14:paraId="7C3974A0">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5.7.1.7</w:t>
            </w:r>
          </w:p>
        </w:tc>
        <w:tc>
          <w:tcPr>
            <w:tcW w:w="1084" w:type="dxa"/>
            <w:vAlign w:val="center"/>
          </w:tcPr>
          <w:p w14:paraId="302AAF79">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查看资料、生产现场</w:t>
            </w:r>
          </w:p>
        </w:tc>
        <w:tc>
          <w:tcPr>
            <w:tcW w:w="1385" w:type="dxa"/>
            <w:vAlign w:val="center"/>
          </w:tcPr>
          <w:p w14:paraId="296D286D">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配电室内备有消防器材</w:t>
            </w:r>
          </w:p>
        </w:tc>
        <w:tc>
          <w:tcPr>
            <w:tcW w:w="669" w:type="dxa"/>
            <w:vAlign w:val="center"/>
          </w:tcPr>
          <w:p w14:paraId="67B3D395">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2</w:t>
            </w:r>
          </w:p>
        </w:tc>
        <w:tc>
          <w:tcPr>
            <w:tcW w:w="738" w:type="dxa"/>
            <w:vAlign w:val="center"/>
          </w:tcPr>
          <w:p w14:paraId="6DF43BB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不符合扣2分</w:t>
            </w:r>
          </w:p>
        </w:tc>
        <w:tc>
          <w:tcPr>
            <w:tcW w:w="530" w:type="dxa"/>
            <w:vAlign w:val="center"/>
          </w:tcPr>
          <w:p w14:paraId="5A5D9766">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2</w:t>
            </w:r>
          </w:p>
        </w:tc>
      </w:tr>
      <w:tr w14:paraId="158D85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958" w:type="dxa"/>
            <w:vAlign w:val="center"/>
          </w:tcPr>
          <w:p w14:paraId="5F634536">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小计</w:t>
            </w:r>
          </w:p>
        </w:tc>
        <w:tc>
          <w:tcPr>
            <w:tcW w:w="2377" w:type="dxa"/>
            <w:vAlign w:val="center"/>
          </w:tcPr>
          <w:p w14:paraId="39F35F5D">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left"/>
              <w:textAlignment w:val="auto"/>
              <w:rPr>
                <w:rFonts w:hint="default"/>
                <w:color w:val="auto"/>
                <w:sz w:val="21"/>
                <w:szCs w:val="21"/>
                <w:vertAlign w:val="baseline"/>
                <w:lang w:val="en-US" w:eastAsia="zh-CN"/>
              </w:rPr>
            </w:pPr>
          </w:p>
        </w:tc>
        <w:tc>
          <w:tcPr>
            <w:tcW w:w="1547" w:type="dxa"/>
            <w:vAlign w:val="center"/>
          </w:tcPr>
          <w:p w14:paraId="354A480B">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p>
        </w:tc>
        <w:tc>
          <w:tcPr>
            <w:tcW w:w="1084" w:type="dxa"/>
            <w:vAlign w:val="center"/>
          </w:tcPr>
          <w:p w14:paraId="5CF44508">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p>
        </w:tc>
        <w:tc>
          <w:tcPr>
            <w:tcW w:w="1385" w:type="dxa"/>
            <w:vAlign w:val="center"/>
          </w:tcPr>
          <w:p w14:paraId="15583B6F">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p>
        </w:tc>
        <w:tc>
          <w:tcPr>
            <w:tcW w:w="669" w:type="dxa"/>
            <w:vAlign w:val="center"/>
          </w:tcPr>
          <w:p w14:paraId="19037C3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12</w:t>
            </w:r>
          </w:p>
        </w:tc>
        <w:tc>
          <w:tcPr>
            <w:tcW w:w="738" w:type="dxa"/>
            <w:vAlign w:val="center"/>
          </w:tcPr>
          <w:p w14:paraId="69B1A508">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color w:val="auto"/>
                <w:sz w:val="21"/>
                <w:szCs w:val="21"/>
                <w:vertAlign w:val="baseline"/>
                <w:lang w:val="en-US" w:eastAsia="zh-CN"/>
              </w:rPr>
            </w:pPr>
          </w:p>
        </w:tc>
        <w:tc>
          <w:tcPr>
            <w:tcW w:w="530" w:type="dxa"/>
            <w:vAlign w:val="center"/>
          </w:tcPr>
          <w:p w14:paraId="67A2AC5B">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12</w:t>
            </w:r>
          </w:p>
        </w:tc>
      </w:tr>
    </w:tbl>
    <w:p w14:paraId="0AA3AC49">
      <w:pPr>
        <w:pStyle w:val="4"/>
        <w:bidi w:val="0"/>
        <w:rPr>
          <w:rFonts w:hint="default"/>
          <w:color w:val="auto"/>
          <w:lang w:val="en-US" w:eastAsia="zh-CN"/>
        </w:rPr>
      </w:pPr>
      <w:bookmarkStart w:id="321" w:name="_Toc7986"/>
      <w:bookmarkStart w:id="322" w:name="_Toc3840"/>
      <w:bookmarkStart w:id="323" w:name="_Toc6252"/>
      <w:r>
        <w:rPr>
          <w:rFonts w:hint="eastAsia"/>
          <w:color w:val="auto"/>
          <w:lang w:val="en-US" w:eastAsia="zh-CN"/>
        </w:rPr>
        <w:t>5.6.2 评价小结</w:t>
      </w:r>
      <w:bookmarkEnd w:id="321"/>
      <w:bookmarkEnd w:id="322"/>
      <w:bookmarkEnd w:id="323"/>
    </w:p>
    <w:p w14:paraId="72AA2866">
      <w:pPr>
        <w:rPr>
          <w:rFonts w:hint="default"/>
          <w:color w:val="auto"/>
          <w:lang w:val="en-US" w:eastAsia="zh-CN"/>
        </w:rPr>
      </w:pPr>
      <w:r>
        <w:rPr>
          <w:rFonts w:hint="default"/>
          <w:color w:val="auto"/>
          <w:lang w:val="en-US" w:eastAsia="zh-CN"/>
        </w:rPr>
        <w:t>江西省坤育矿业有限公司德安县聂桥镇刘家山矿区建筑用辉绿岩矿露天开采工程防</w:t>
      </w:r>
      <w:r>
        <w:rPr>
          <w:rFonts w:hint="eastAsia"/>
          <w:color w:val="auto"/>
          <w:lang w:val="en-US" w:eastAsia="zh-CN"/>
        </w:rPr>
        <w:t>灭火</w:t>
      </w:r>
      <w:r>
        <w:rPr>
          <w:rFonts w:hint="default"/>
          <w:color w:val="auto"/>
          <w:lang w:val="en-US" w:eastAsia="zh-CN"/>
        </w:rPr>
        <w:t>单元检查表中无否决项，一般项总分</w:t>
      </w:r>
      <w:r>
        <w:rPr>
          <w:rFonts w:hint="eastAsia"/>
          <w:color w:val="auto"/>
          <w:lang w:val="en-US" w:eastAsia="zh-CN"/>
        </w:rPr>
        <w:t>12</w:t>
      </w:r>
      <w:r>
        <w:rPr>
          <w:rFonts w:hint="default"/>
          <w:color w:val="auto"/>
          <w:lang w:val="en-US" w:eastAsia="zh-CN"/>
        </w:rPr>
        <w:t>分，得分</w:t>
      </w:r>
      <w:r>
        <w:rPr>
          <w:rFonts w:hint="eastAsia"/>
          <w:color w:val="auto"/>
          <w:lang w:val="en-US" w:eastAsia="zh-CN"/>
        </w:rPr>
        <w:t>12</w:t>
      </w:r>
      <w:r>
        <w:rPr>
          <w:rFonts w:hint="default"/>
          <w:color w:val="auto"/>
          <w:lang w:val="en-US" w:eastAsia="zh-CN"/>
        </w:rPr>
        <w:t>分，得分率为100%，说明江西省坤育矿业有限公司德安县聂桥镇刘家山矿区建筑用辉绿岩矿露天开采工程防</w:t>
      </w:r>
      <w:r>
        <w:rPr>
          <w:rFonts w:hint="eastAsia"/>
          <w:color w:val="auto"/>
          <w:lang w:val="en-US" w:eastAsia="zh-CN"/>
        </w:rPr>
        <w:t>灭火</w:t>
      </w:r>
      <w:r>
        <w:rPr>
          <w:rFonts w:hint="default"/>
          <w:color w:val="auto"/>
          <w:lang w:val="en-US" w:eastAsia="zh-CN"/>
        </w:rPr>
        <w:t>单元具备安全生产条件。</w:t>
      </w:r>
    </w:p>
    <w:p w14:paraId="77CFC334">
      <w:pPr>
        <w:pStyle w:val="3"/>
        <w:bidi w:val="0"/>
        <w:rPr>
          <w:rFonts w:hint="default"/>
          <w:color w:val="auto"/>
          <w:lang w:val="en-US" w:eastAsia="zh-CN"/>
        </w:rPr>
      </w:pPr>
      <w:bookmarkStart w:id="324" w:name="_Toc1468"/>
      <w:bookmarkStart w:id="325" w:name="_Toc9939"/>
      <w:bookmarkStart w:id="326" w:name="_Toc19967"/>
      <w:r>
        <w:rPr>
          <w:rFonts w:hint="eastAsia"/>
          <w:color w:val="auto"/>
          <w:lang w:val="en-US" w:eastAsia="zh-CN"/>
        </w:rPr>
        <w:t>5.7 重大生产安全事故隐患判定</w:t>
      </w:r>
      <w:bookmarkEnd w:id="324"/>
      <w:bookmarkEnd w:id="325"/>
      <w:bookmarkEnd w:id="326"/>
    </w:p>
    <w:p w14:paraId="4D9D88A6">
      <w:pPr>
        <w:rPr>
          <w:rFonts w:hint="default"/>
          <w:color w:val="auto"/>
          <w:lang w:val="en-US" w:eastAsia="zh-CN"/>
        </w:rPr>
      </w:pPr>
      <w:r>
        <w:rPr>
          <w:rFonts w:hint="default"/>
          <w:color w:val="auto"/>
          <w:lang w:val="en-US" w:eastAsia="zh-CN"/>
        </w:rPr>
        <w:t>根据《国家矿山安全监察局关于印发〈金属非金属矿山重大事故隐患判定标准〉的通知》（矿安〔2022〕88号）和《国家矿山安全监察局关于印发&lt;金属非金属矿山重大事故隐患判定标准补充情形&gt;的通知》（矿安〔2024〕41号），对江西省坤育矿业有限公司德安县聂桥镇刘家山矿区建筑用辉绿岩矿露天开采工程进行重大生产安全事故隐患判定，判定情况见表</w:t>
      </w:r>
      <w:r>
        <w:rPr>
          <w:rFonts w:hint="eastAsia"/>
          <w:color w:val="auto"/>
          <w:lang w:val="en-US" w:eastAsia="zh-CN"/>
        </w:rPr>
        <w:t>5.7</w:t>
      </w:r>
      <w:r>
        <w:rPr>
          <w:rFonts w:hint="default"/>
          <w:color w:val="auto"/>
          <w:lang w:val="en-US" w:eastAsia="zh-CN"/>
        </w:rPr>
        <w:t>-</w:t>
      </w:r>
      <w:r>
        <w:rPr>
          <w:rFonts w:hint="eastAsia"/>
          <w:color w:val="auto"/>
          <w:lang w:val="en-US" w:eastAsia="zh-CN"/>
        </w:rPr>
        <w:t>1</w:t>
      </w:r>
      <w:r>
        <w:rPr>
          <w:rFonts w:hint="default"/>
          <w:color w:val="auto"/>
          <w:lang w:val="en-US" w:eastAsia="zh-CN"/>
        </w:rPr>
        <w:t>。</w:t>
      </w:r>
    </w:p>
    <w:p w14:paraId="4BFDD25A">
      <w:pPr>
        <w:ind w:left="0" w:leftChars="0" w:firstLine="0" w:firstLineChars="0"/>
        <w:jc w:val="center"/>
        <w:rPr>
          <w:rFonts w:hint="eastAsia"/>
          <w:color w:val="auto"/>
          <w:lang w:val="en-US" w:eastAsia="zh-CN"/>
        </w:rPr>
      </w:pPr>
      <w:r>
        <w:rPr>
          <w:rFonts w:hint="default"/>
          <w:color w:val="auto"/>
          <w:lang w:val="en-US" w:eastAsia="zh-CN"/>
        </w:rPr>
        <w:t>表</w:t>
      </w:r>
      <w:r>
        <w:rPr>
          <w:rFonts w:hint="eastAsia"/>
          <w:color w:val="auto"/>
          <w:lang w:val="en-US" w:eastAsia="zh-CN"/>
        </w:rPr>
        <w:t>5.7</w:t>
      </w:r>
      <w:r>
        <w:rPr>
          <w:rFonts w:hint="default"/>
          <w:color w:val="auto"/>
          <w:lang w:val="en-US" w:eastAsia="zh-CN"/>
        </w:rPr>
        <w:t>-</w:t>
      </w:r>
      <w:r>
        <w:rPr>
          <w:rFonts w:hint="eastAsia"/>
          <w:color w:val="auto"/>
          <w:lang w:val="en-US" w:eastAsia="zh-CN"/>
        </w:rPr>
        <w:t>1 重大事故隐患判定检查表</w:t>
      </w:r>
    </w:p>
    <w:tbl>
      <w:tblPr>
        <w:tblStyle w:val="18"/>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7"/>
        <w:gridCol w:w="5107"/>
        <w:gridCol w:w="2336"/>
        <w:gridCol w:w="1161"/>
      </w:tblGrid>
      <w:tr w14:paraId="2E9617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365" w:type="pct"/>
            <w:noWrap w:val="0"/>
            <w:vAlign w:val="center"/>
          </w:tcPr>
          <w:p w14:paraId="276A0898">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b/>
                <w:bCs/>
                <w:color w:val="auto"/>
                <w:kern w:val="0"/>
                <w:sz w:val="21"/>
                <w:szCs w:val="21"/>
                <w:lang w:val="en-US" w:eastAsia="zh-CN" w:bidi="ar-SA"/>
              </w:rPr>
            </w:pPr>
            <w:r>
              <w:rPr>
                <w:rFonts w:ascii="Times New Roman" w:hAnsi="宋体" w:eastAsia="宋体" w:cs="Times New Roman"/>
                <w:b/>
                <w:bCs/>
                <w:color w:val="auto"/>
                <w:kern w:val="0"/>
                <w:sz w:val="21"/>
                <w:szCs w:val="21"/>
                <w:lang w:val="en-US" w:eastAsia="zh-CN" w:bidi="ar-SA"/>
              </w:rPr>
              <w:t>序号</w:t>
            </w:r>
          </w:p>
        </w:tc>
        <w:tc>
          <w:tcPr>
            <w:tcW w:w="2750" w:type="pct"/>
            <w:noWrap w:val="0"/>
            <w:vAlign w:val="center"/>
          </w:tcPr>
          <w:p w14:paraId="70D41E6C">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b/>
                <w:bCs/>
                <w:color w:val="auto"/>
                <w:kern w:val="0"/>
                <w:sz w:val="21"/>
                <w:szCs w:val="21"/>
                <w:lang w:val="en-US" w:eastAsia="zh-CN" w:bidi="ar-SA"/>
              </w:rPr>
            </w:pPr>
            <w:r>
              <w:rPr>
                <w:rFonts w:ascii="Times New Roman" w:hAnsi="宋体" w:eastAsia="宋体" w:cs="Times New Roman"/>
                <w:b/>
                <w:bCs/>
                <w:color w:val="auto"/>
                <w:kern w:val="0"/>
                <w:sz w:val="21"/>
                <w:szCs w:val="21"/>
                <w:lang w:val="en-US" w:eastAsia="zh-CN" w:bidi="ar-SA"/>
              </w:rPr>
              <w:t>判定标准</w:t>
            </w:r>
          </w:p>
        </w:tc>
        <w:tc>
          <w:tcPr>
            <w:tcW w:w="1258" w:type="pct"/>
            <w:noWrap w:val="0"/>
            <w:vAlign w:val="center"/>
          </w:tcPr>
          <w:p w14:paraId="141BF475">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default" w:ascii="Times New Roman" w:hAnsi="宋体" w:eastAsia="宋体" w:cs="Times New Roman"/>
                <w:b/>
                <w:bCs/>
                <w:color w:val="auto"/>
                <w:kern w:val="0"/>
                <w:sz w:val="21"/>
                <w:szCs w:val="21"/>
                <w:lang w:val="en-US" w:eastAsia="zh-CN" w:bidi="ar-SA"/>
              </w:rPr>
            </w:pPr>
            <w:r>
              <w:rPr>
                <w:rFonts w:hint="eastAsia" w:ascii="Times New Roman" w:hAnsi="宋体" w:eastAsia="宋体" w:cs="Times New Roman"/>
                <w:b/>
                <w:bCs/>
                <w:color w:val="auto"/>
                <w:kern w:val="0"/>
                <w:sz w:val="21"/>
                <w:szCs w:val="21"/>
                <w:lang w:val="en-US" w:eastAsia="zh-CN" w:bidi="ar-SA"/>
              </w:rPr>
              <w:t>检查情况</w:t>
            </w:r>
          </w:p>
        </w:tc>
        <w:tc>
          <w:tcPr>
            <w:tcW w:w="625" w:type="pct"/>
            <w:noWrap w:val="0"/>
            <w:vAlign w:val="center"/>
          </w:tcPr>
          <w:p w14:paraId="1CD7B338">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b/>
                <w:bCs/>
                <w:color w:val="auto"/>
                <w:kern w:val="0"/>
                <w:sz w:val="21"/>
                <w:szCs w:val="21"/>
                <w:lang w:val="en-US" w:eastAsia="zh-CN" w:bidi="ar-SA"/>
              </w:rPr>
            </w:pPr>
            <w:r>
              <w:rPr>
                <w:rFonts w:ascii="Times New Roman" w:hAnsi="宋体" w:eastAsia="宋体" w:cs="Times New Roman"/>
                <w:b/>
                <w:bCs/>
                <w:color w:val="auto"/>
                <w:kern w:val="0"/>
                <w:sz w:val="21"/>
                <w:szCs w:val="21"/>
                <w:lang w:val="en-US" w:eastAsia="zh-CN" w:bidi="ar-SA"/>
              </w:rPr>
              <w:t>判定结果</w:t>
            </w:r>
          </w:p>
        </w:tc>
      </w:tr>
      <w:tr w14:paraId="63CC0F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65" w:type="pct"/>
            <w:noWrap w:val="0"/>
            <w:vAlign w:val="center"/>
          </w:tcPr>
          <w:p w14:paraId="7F2D6E4F">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2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1</w:t>
            </w:r>
          </w:p>
        </w:tc>
        <w:tc>
          <w:tcPr>
            <w:tcW w:w="2750" w:type="pct"/>
            <w:noWrap w:val="0"/>
            <w:vAlign w:val="center"/>
          </w:tcPr>
          <w:p w14:paraId="04FFD61A">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20" w:lineRule="exact"/>
              <w:ind w:firstLine="0" w:firstLineChars="0"/>
              <w:jc w:val="left"/>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地下开采转露天开采前，未探明采空区和溶洞，或者未按设计处理对露天开采安全有威胁的采空区和溶洞。</w:t>
            </w:r>
          </w:p>
        </w:tc>
        <w:tc>
          <w:tcPr>
            <w:tcW w:w="1258" w:type="pct"/>
            <w:noWrap w:val="0"/>
            <w:vAlign w:val="center"/>
          </w:tcPr>
          <w:p w14:paraId="04EDFD9D">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20" w:lineRule="exact"/>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不存在上述情况</w:t>
            </w:r>
          </w:p>
        </w:tc>
        <w:tc>
          <w:tcPr>
            <w:tcW w:w="625" w:type="pct"/>
            <w:noWrap w:val="0"/>
            <w:vAlign w:val="center"/>
          </w:tcPr>
          <w:p w14:paraId="470C6CEF">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2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不构成</w:t>
            </w:r>
          </w:p>
        </w:tc>
      </w:tr>
      <w:tr w14:paraId="4AFD7D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365" w:type="pct"/>
            <w:noWrap w:val="0"/>
            <w:vAlign w:val="center"/>
          </w:tcPr>
          <w:p w14:paraId="52CB2C0F">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2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2</w:t>
            </w:r>
          </w:p>
        </w:tc>
        <w:tc>
          <w:tcPr>
            <w:tcW w:w="2750" w:type="pct"/>
            <w:noWrap w:val="0"/>
            <w:vAlign w:val="center"/>
          </w:tcPr>
          <w:p w14:paraId="76C6F452">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20" w:lineRule="exact"/>
              <w:ind w:firstLine="0" w:firstLineChars="0"/>
              <w:jc w:val="left"/>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使用国家明令禁止使用的设备、材料</w:t>
            </w:r>
            <w:r>
              <w:rPr>
                <w:rFonts w:hint="eastAsia" w:ascii="Times New Roman" w:hAnsi="宋体" w:eastAsia="宋体" w:cs="Times New Roman"/>
                <w:color w:val="auto"/>
                <w:kern w:val="0"/>
                <w:sz w:val="21"/>
                <w:szCs w:val="21"/>
                <w:lang w:val="en-US" w:eastAsia="zh-CN" w:bidi="ar-SA"/>
              </w:rPr>
              <w:t>或者</w:t>
            </w:r>
            <w:r>
              <w:rPr>
                <w:rFonts w:ascii="Times New Roman" w:hAnsi="宋体" w:eastAsia="宋体" w:cs="Times New Roman"/>
                <w:color w:val="auto"/>
                <w:kern w:val="0"/>
                <w:sz w:val="21"/>
                <w:szCs w:val="21"/>
                <w:lang w:val="en-US" w:eastAsia="zh-CN" w:bidi="ar-SA"/>
              </w:rPr>
              <w:t>工艺。</w:t>
            </w:r>
          </w:p>
        </w:tc>
        <w:tc>
          <w:tcPr>
            <w:tcW w:w="1258" w:type="pct"/>
            <w:noWrap w:val="0"/>
            <w:vAlign w:val="center"/>
          </w:tcPr>
          <w:p w14:paraId="6B371165">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2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未使用</w:t>
            </w:r>
          </w:p>
        </w:tc>
        <w:tc>
          <w:tcPr>
            <w:tcW w:w="625" w:type="pct"/>
            <w:noWrap w:val="0"/>
            <w:vAlign w:val="center"/>
          </w:tcPr>
          <w:p w14:paraId="6A90546B">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2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不构成</w:t>
            </w:r>
          </w:p>
        </w:tc>
      </w:tr>
      <w:tr w14:paraId="28374C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65" w:type="pct"/>
            <w:noWrap w:val="0"/>
            <w:vAlign w:val="center"/>
          </w:tcPr>
          <w:p w14:paraId="4E164AB5">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2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3</w:t>
            </w:r>
          </w:p>
        </w:tc>
        <w:tc>
          <w:tcPr>
            <w:tcW w:w="2750" w:type="pct"/>
            <w:noWrap w:val="0"/>
            <w:vAlign w:val="center"/>
          </w:tcPr>
          <w:p w14:paraId="78C10DA8">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20" w:lineRule="exact"/>
              <w:ind w:firstLine="0" w:firstLineChars="0"/>
              <w:jc w:val="left"/>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未采用自上而下的开采顺序分台阶或者分层开采。</w:t>
            </w:r>
          </w:p>
        </w:tc>
        <w:tc>
          <w:tcPr>
            <w:tcW w:w="1258" w:type="pct"/>
            <w:noWrap w:val="0"/>
            <w:vAlign w:val="center"/>
          </w:tcPr>
          <w:p w14:paraId="005C003B">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2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自上而下，分台阶</w:t>
            </w:r>
            <w:r>
              <w:rPr>
                <w:rFonts w:hint="eastAsia" w:ascii="Times New Roman" w:hAnsi="宋体" w:eastAsia="宋体" w:cs="Times New Roman"/>
                <w:color w:val="auto"/>
                <w:kern w:val="0"/>
                <w:sz w:val="21"/>
                <w:szCs w:val="21"/>
                <w:lang w:val="en-US" w:eastAsia="zh-CN" w:bidi="ar-SA"/>
              </w:rPr>
              <w:t>逐层</w:t>
            </w:r>
            <w:r>
              <w:rPr>
                <w:rFonts w:ascii="Times New Roman" w:hAnsi="宋体" w:eastAsia="宋体" w:cs="Times New Roman"/>
                <w:color w:val="auto"/>
                <w:kern w:val="0"/>
                <w:sz w:val="21"/>
                <w:szCs w:val="21"/>
                <w:lang w:val="en-US" w:eastAsia="zh-CN" w:bidi="ar-SA"/>
              </w:rPr>
              <w:t>开采</w:t>
            </w:r>
          </w:p>
        </w:tc>
        <w:tc>
          <w:tcPr>
            <w:tcW w:w="625" w:type="pct"/>
            <w:noWrap w:val="0"/>
            <w:vAlign w:val="center"/>
          </w:tcPr>
          <w:p w14:paraId="490F741E">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2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不构成</w:t>
            </w:r>
          </w:p>
        </w:tc>
      </w:tr>
      <w:tr w14:paraId="58915C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65" w:type="pct"/>
            <w:noWrap w:val="0"/>
            <w:vAlign w:val="center"/>
          </w:tcPr>
          <w:p w14:paraId="71A1B115">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2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4</w:t>
            </w:r>
          </w:p>
        </w:tc>
        <w:tc>
          <w:tcPr>
            <w:tcW w:w="2750" w:type="pct"/>
            <w:noWrap w:val="0"/>
            <w:vAlign w:val="center"/>
          </w:tcPr>
          <w:p w14:paraId="38A8AF17">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20" w:lineRule="exact"/>
              <w:ind w:firstLine="0" w:firstLineChars="0"/>
              <w:jc w:val="left"/>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工作帮坡角大于设计工作帮坡角，或者最终边坡台阶高度超过设计高度</w:t>
            </w:r>
            <w:r>
              <w:rPr>
                <w:rFonts w:hint="eastAsia" w:ascii="Times New Roman" w:hAnsi="宋体" w:eastAsia="宋体" w:cs="Times New Roman"/>
                <w:color w:val="auto"/>
                <w:kern w:val="0"/>
                <w:sz w:val="21"/>
                <w:szCs w:val="21"/>
                <w:lang w:val="en-US" w:eastAsia="zh-CN" w:bidi="ar-SA"/>
              </w:rPr>
              <w:t>。</w:t>
            </w:r>
          </w:p>
        </w:tc>
        <w:tc>
          <w:tcPr>
            <w:tcW w:w="1258" w:type="pct"/>
            <w:noWrap w:val="0"/>
            <w:vAlign w:val="center"/>
          </w:tcPr>
          <w:p w14:paraId="39DEF1B8">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2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工作帮坡角符合要求</w:t>
            </w:r>
          </w:p>
        </w:tc>
        <w:tc>
          <w:tcPr>
            <w:tcW w:w="625" w:type="pct"/>
            <w:noWrap w:val="0"/>
            <w:vAlign w:val="center"/>
          </w:tcPr>
          <w:p w14:paraId="532781C7">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2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不构成</w:t>
            </w:r>
          </w:p>
        </w:tc>
      </w:tr>
      <w:tr w14:paraId="03A23D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365" w:type="pct"/>
            <w:noWrap w:val="0"/>
            <w:vAlign w:val="center"/>
          </w:tcPr>
          <w:p w14:paraId="70D52EC1">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2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5</w:t>
            </w:r>
          </w:p>
        </w:tc>
        <w:tc>
          <w:tcPr>
            <w:tcW w:w="2750" w:type="pct"/>
            <w:noWrap w:val="0"/>
            <w:vAlign w:val="center"/>
          </w:tcPr>
          <w:p w14:paraId="1D149839">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20" w:lineRule="exact"/>
              <w:ind w:firstLine="0" w:firstLineChars="0"/>
              <w:jc w:val="left"/>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开采或者破坏设计要求保留的矿（岩）柱或者挂帮矿体。</w:t>
            </w:r>
          </w:p>
        </w:tc>
        <w:tc>
          <w:tcPr>
            <w:tcW w:w="1258" w:type="pct"/>
            <w:noWrap w:val="0"/>
            <w:vAlign w:val="center"/>
          </w:tcPr>
          <w:p w14:paraId="5C68B968">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20" w:lineRule="exact"/>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无此现象</w:t>
            </w:r>
          </w:p>
        </w:tc>
        <w:tc>
          <w:tcPr>
            <w:tcW w:w="625" w:type="pct"/>
            <w:noWrap w:val="0"/>
            <w:vAlign w:val="center"/>
          </w:tcPr>
          <w:p w14:paraId="475450F0">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2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不构成</w:t>
            </w:r>
          </w:p>
        </w:tc>
      </w:tr>
      <w:tr w14:paraId="6D4D33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65" w:type="pct"/>
            <w:noWrap w:val="0"/>
            <w:vAlign w:val="center"/>
          </w:tcPr>
          <w:p w14:paraId="2A7E48F5">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2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6</w:t>
            </w:r>
          </w:p>
        </w:tc>
        <w:tc>
          <w:tcPr>
            <w:tcW w:w="2750" w:type="pct"/>
            <w:noWrap w:val="0"/>
            <w:vAlign w:val="center"/>
          </w:tcPr>
          <w:p w14:paraId="1DB2A9B8">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20" w:lineRule="exact"/>
              <w:ind w:firstLine="0" w:firstLineChars="0"/>
              <w:jc w:val="left"/>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未按有关国家标准或者行业标准对采场边坡、排土场边坡进行稳定性分析。</w:t>
            </w:r>
          </w:p>
        </w:tc>
        <w:tc>
          <w:tcPr>
            <w:tcW w:w="1258" w:type="pct"/>
            <w:noWrap w:val="0"/>
            <w:vAlign w:val="center"/>
          </w:tcPr>
          <w:p w14:paraId="36B9A47A">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20" w:lineRule="exact"/>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已对</w:t>
            </w:r>
            <w:r>
              <w:rPr>
                <w:rFonts w:ascii="Times New Roman" w:hAnsi="宋体" w:eastAsia="宋体" w:cs="Times New Roman"/>
                <w:color w:val="auto"/>
                <w:kern w:val="0"/>
                <w:sz w:val="21"/>
                <w:szCs w:val="21"/>
                <w:lang w:val="en-US" w:eastAsia="zh-CN" w:bidi="ar-SA"/>
              </w:rPr>
              <w:t>采场边坡边坡进行</w:t>
            </w:r>
            <w:r>
              <w:rPr>
                <w:rFonts w:hint="eastAsia" w:ascii="Times New Roman" w:hAnsi="宋体" w:eastAsia="宋体" w:cs="Times New Roman"/>
                <w:color w:val="auto"/>
                <w:kern w:val="0"/>
                <w:sz w:val="21"/>
                <w:szCs w:val="21"/>
                <w:lang w:val="en-US" w:eastAsia="zh-CN" w:bidi="ar-SA"/>
              </w:rPr>
              <w:t>了</w:t>
            </w:r>
            <w:r>
              <w:rPr>
                <w:rFonts w:ascii="Times New Roman" w:hAnsi="宋体" w:eastAsia="宋体" w:cs="Times New Roman"/>
                <w:color w:val="auto"/>
                <w:kern w:val="0"/>
                <w:sz w:val="21"/>
                <w:szCs w:val="21"/>
                <w:lang w:val="en-US" w:eastAsia="zh-CN" w:bidi="ar-SA"/>
              </w:rPr>
              <w:t>稳定性分析</w:t>
            </w:r>
          </w:p>
        </w:tc>
        <w:tc>
          <w:tcPr>
            <w:tcW w:w="625" w:type="pct"/>
            <w:noWrap w:val="0"/>
            <w:vAlign w:val="center"/>
          </w:tcPr>
          <w:p w14:paraId="343609FF">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2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不构成</w:t>
            </w:r>
          </w:p>
        </w:tc>
      </w:tr>
      <w:tr w14:paraId="21D95A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65" w:type="pct"/>
            <w:noWrap w:val="0"/>
            <w:vAlign w:val="center"/>
          </w:tcPr>
          <w:p w14:paraId="6FC8D0B6">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2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7</w:t>
            </w:r>
          </w:p>
        </w:tc>
        <w:tc>
          <w:tcPr>
            <w:tcW w:w="2750" w:type="pct"/>
            <w:noWrap w:val="0"/>
            <w:vAlign w:val="center"/>
          </w:tcPr>
          <w:p w14:paraId="5A091701">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20" w:lineRule="exact"/>
              <w:ind w:firstLine="0" w:firstLineChars="0"/>
              <w:jc w:val="left"/>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边坡存在下列情形之一的：</w:t>
            </w:r>
          </w:p>
          <w:p w14:paraId="2443B8D4">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20" w:lineRule="exact"/>
              <w:ind w:firstLine="0" w:firstLineChars="0"/>
              <w:jc w:val="left"/>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1.高度200米及以上的采场边坡未进行在线监测；</w:t>
            </w:r>
          </w:p>
          <w:p w14:paraId="146FC025">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20" w:lineRule="exact"/>
              <w:ind w:firstLine="0" w:firstLineChars="0"/>
              <w:jc w:val="left"/>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2.高度200米及以上的排土场边坡未建立边坡稳定监测系统；</w:t>
            </w:r>
          </w:p>
          <w:p w14:paraId="3A4EE752">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20" w:lineRule="exact"/>
              <w:ind w:firstLine="0" w:firstLineChars="0"/>
              <w:jc w:val="left"/>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3.关闭、破坏监测系统或者隐瞒、篡改、销毁其相关数据、信息。</w:t>
            </w:r>
          </w:p>
        </w:tc>
        <w:tc>
          <w:tcPr>
            <w:tcW w:w="1258" w:type="pct"/>
            <w:noWrap w:val="0"/>
            <w:vAlign w:val="center"/>
          </w:tcPr>
          <w:p w14:paraId="6803C389">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20" w:lineRule="exact"/>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已建立采场边坡在线监测，在线监测正常</w:t>
            </w:r>
          </w:p>
        </w:tc>
        <w:tc>
          <w:tcPr>
            <w:tcW w:w="625" w:type="pct"/>
            <w:noWrap w:val="0"/>
            <w:vAlign w:val="center"/>
          </w:tcPr>
          <w:p w14:paraId="785A557B">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2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不构成</w:t>
            </w:r>
          </w:p>
        </w:tc>
      </w:tr>
      <w:tr w14:paraId="1D5F00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65" w:type="pct"/>
            <w:noWrap w:val="0"/>
            <w:vAlign w:val="center"/>
          </w:tcPr>
          <w:p w14:paraId="3C4609CC">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2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8</w:t>
            </w:r>
          </w:p>
        </w:tc>
        <w:tc>
          <w:tcPr>
            <w:tcW w:w="2750" w:type="pct"/>
            <w:noWrap w:val="0"/>
            <w:vAlign w:val="center"/>
          </w:tcPr>
          <w:p w14:paraId="12DEAFFB">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20" w:lineRule="exact"/>
              <w:ind w:firstLine="0" w:firstLineChars="0"/>
              <w:jc w:val="left"/>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边坡出现滑移现象，存在下列情形之一的：</w:t>
            </w:r>
          </w:p>
          <w:p w14:paraId="5903BE8F">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20" w:lineRule="exact"/>
              <w:ind w:firstLine="0" w:firstLineChars="0"/>
              <w:jc w:val="left"/>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1.边坡出现横向及纵向放射状裂缝；</w:t>
            </w:r>
          </w:p>
          <w:p w14:paraId="3C3597F1">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20" w:lineRule="exact"/>
              <w:ind w:firstLine="0" w:firstLineChars="0"/>
              <w:jc w:val="left"/>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2.坡体前缘坡脚处出现上隆（凸起）现象，后缘的裂缝急剧扩展；</w:t>
            </w:r>
          </w:p>
          <w:p w14:paraId="30BF5D6D">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20" w:lineRule="exact"/>
              <w:ind w:firstLine="0" w:firstLineChars="0"/>
              <w:jc w:val="left"/>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3.位移观测资料显示的水平位移量或者垂直位移量出现加速变化的趋势。</w:t>
            </w:r>
          </w:p>
        </w:tc>
        <w:tc>
          <w:tcPr>
            <w:tcW w:w="1258" w:type="pct"/>
            <w:noWrap w:val="0"/>
            <w:vAlign w:val="center"/>
          </w:tcPr>
          <w:p w14:paraId="6B218F3A">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20" w:lineRule="exact"/>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未出现上述情况</w:t>
            </w:r>
          </w:p>
        </w:tc>
        <w:tc>
          <w:tcPr>
            <w:tcW w:w="625" w:type="pct"/>
            <w:noWrap w:val="0"/>
            <w:vAlign w:val="center"/>
          </w:tcPr>
          <w:p w14:paraId="2FB5CD4A">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2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不构成</w:t>
            </w:r>
          </w:p>
        </w:tc>
      </w:tr>
      <w:tr w14:paraId="6A3167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65" w:type="pct"/>
            <w:noWrap w:val="0"/>
            <w:vAlign w:val="center"/>
          </w:tcPr>
          <w:p w14:paraId="6912CAF5">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2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9</w:t>
            </w:r>
          </w:p>
        </w:tc>
        <w:tc>
          <w:tcPr>
            <w:tcW w:w="2750" w:type="pct"/>
            <w:noWrap w:val="0"/>
            <w:vAlign w:val="center"/>
          </w:tcPr>
          <w:p w14:paraId="525200F4">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20" w:lineRule="exact"/>
              <w:ind w:firstLine="0" w:firstLineChars="0"/>
              <w:jc w:val="left"/>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运输道路坡度大于设计坡度10%以上。</w:t>
            </w:r>
          </w:p>
        </w:tc>
        <w:tc>
          <w:tcPr>
            <w:tcW w:w="1258" w:type="pct"/>
            <w:noWrap w:val="0"/>
            <w:vAlign w:val="center"/>
          </w:tcPr>
          <w:p w14:paraId="0E2532F1">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20" w:lineRule="exact"/>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运输道路坡度满足要求</w:t>
            </w:r>
          </w:p>
        </w:tc>
        <w:tc>
          <w:tcPr>
            <w:tcW w:w="625" w:type="pct"/>
            <w:noWrap w:val="0"/>
            <w:vAlign w:val="center"/>
          </w:tcPr>
          <w:p w14:paraId="36038F7B">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2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不构成</w:t>
            </w:r>
          </w:p>
        </w:tc>
      </w:tr>
      <w:tr w14:paraId="291059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365" w:type="pct"/>
            <w:noWrap w:val="0"/>
            <w:vAlign w:val="center"/>
          </w:tcPr>
          <w:p w14:paraId="078CE8BC">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10</w:t>
            </w:r>
          </w:p>
        </w:tc>
        <w:tc>
          <w:tcPr>
            <w:tcW w:w="2750" w:type="pct"/>
            <w:noWrap w:val="0"/>
            <w:vAlign w:val="center"/>
          </w:tcPr>
          <w:p w14:paraId="6CB23876">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left"/>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凹陷露天矿山未按设计建设防洪、排洪设施。</w:t>
            </w:r>
          </w:p>
        </w:tc>
        <w:tc>
          <w:tcPr>
            <w:tcW w:w="1258" w:type="pct"/>
            <w:noWrap w:val="0"/>
            <w:vAlign w:val="center"/>
          </w:tcPr>
          <w:p w14:paraId="3B10B6F7">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不涉及凹陷露天矿山</w:t>
            </w:r>
          </w:p>
        </w:tc>
        <w:tc>
          <w:tcPr>
            <w:tcW w:w="625" w:type="pct"/>
            <w:noWrap w:val="0"/>
            <w:vAlign w:val="center"/>
          </w:tcPr>
          <w:p w14:paraId="1EEE7979">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不构成</w:t>
            </w:r>
          </w:p>
        </w:tc>
      </w:tr>
      <w:tr w14:paraId="7CB5E6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2" w:hRule="atLeast"/>
          <w:jc w:val="center"/>
        </w:trPr>
        <w:tc>
          <w:tcPr>
            <w:tcW w:w="365" w:type="pct"/>
            <w:noWrap w:val="0"/>
            <w:vAlign w:val="center"/>
          </w:tcPr>
          <w:p w14:paraId="7CD98221">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11</w:t>
            </w:r>
          </w:p>
        </w:tc>
        <w:tc>
          <w:tcPr>
            <w:tcW w:w="2750" w:type="pct"/>
            <w:noWrap w:val="0"/>
            <w:vAlign w:val="center"/>
          </w:tcPr>
          <w:p w14:paraId="485A8AA8">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left"/>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排土场存在下列情形之一的：</w:t>
            </w:r>
          </w:p>
          <w:p w14:paraId="5D1745CC">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left"/>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1.在平均坡度大于1</w:t>
            </w:r>
            <w:r>
              <w:rPr>
                <w:rFonts w:hint="eastAsia" w:ascii="Times New Roman" w:hAnsi="宋体" w:eastAsia="宋体" w:cs="Times New Roman"/>
                <w:color w:val="auto"/>
                <w:kern w:val="0"/>
                <w:sz w:val="21"/>
                <w:szCs w:val="21"/>
                <w:lang w:val="en-US" w:eastAsia="zh-CN" w:bidi="ar-SA"/>
              </w:rPr>
              <w:t>∶</w:t>
            </w:r>
            <w:r>
              <w:rPr>
                <w:rFonts w:ascii="Times New Roman" w:hAnsi="宋体" w:eastAsia="宋体" w:cs="Times New Roman"/>
                <w:color w:val="auto"/>
                <w:kern w:val="0"/>
                <w:sz w:val="21"/>
                <w:szCs w:val="21"/>
                <w:lang w:val="en-US" w:eastAsia="zh-CN" w:bidi="ar-SA"/>
              </w:rPr>
              <w:t>5的地基上顺坡排土，未按设计采取安全措施；</w:t>
            </w:r>
          </w:p>
          <w:p w14:paraId="744210B5">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left"/>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2.排土场总堆置高度2倍范围以内有人员密集场所，未按设计采取安全措施；</w:t>
            </w:r>
          </w:p>
          <w:p w14:paraId="10E1239F">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left"/>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3.山坡排土场周围未按设计修筑截、排水设施。</w:t>
            </w:r>
          </w:p>
        </w:tc>
        <w:tc>
          <w:tcPr>
            <w:tcW w:w="1258" w:type="pct"/>
            <w:noWrap w:val="0"/>
            <w:vAlign w:val="center"/>
          </w:tcPr>
          <w:p w14:paraId="3CD55763">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无排土场，不涉及</w:t>
            </w:r>
          </w:p>
        </w:tc>
        <w:tc>
          <w:tcPr>
            <w:tcW w:w="625" w:type="pct"/>
            <w:noWrap w:val="0"/>
            <w:vAlign w:val="center"/>
          </w:tcPr>
          <w:p w14:paraId="1FC3EEEA">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不构成</w:t>
            </w:r>
          </w:p>
        </w:tc>
      </w:tr>
      <w:tr w14:paraId="3F5C07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65" w:type="pct"/>
            <w:noWrap w:val="0"/>
            <w:vAlign w:val="center"/>
          </w:tcPr>
          <w:p w14:paraId="3F3212F0">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12</w:t>
            </w:r>
          </w:p>
        </w:tc>
        <w:tc>
          <w:tcPr>
            <w:tcW w:w="2750" w:type="pct"/>
            <w:noWrap w:val="0"/>
            <w:vAlign w:val="center"/>
          </w:tcPr>
          <w:p w14:paraId="70AC577E">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left"/>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露天采场未按设计设置安全平台和清扫平台。</w:t>
            </w:r>
          </w:p>
        </w:tc>
        <w:tc>
          <w:tcPr>
            <w:tcW w:w="1258" w:type="pct"/>
            <w:noWrap w:val="0"/>
            <w:vAlign w:val="center"/>
          </w:tcPr>
          <w:p w14:paraId="2E560136">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已按设计设置</w:t>
            </w:r>
            <w:r>
              <w:rPr>
                <w:rFonts w:ascii="Times New Roman" w:hAnsi="宋体" w:eastAsia="宋体" w:cs="Times New Roman"/>
                <w:color w:val="auto"/>
                <w:kern w:val="0"/>
                <w:sz w:val="21"/>
                <w:szCs w:val="21"/>
                <w:lang w:val="en-US" w:eastAsia="zh-CN" w:bidi="ar-SA"/>
              </w:rPr>
              <w:t>安全平台和清扫平台</w:t>
            </w:r>
          </w:p>
        </w:tc>
        <w:tc>
          <w:tcPr>
            <w:tcW w:w="625" w:type="pct"/>
            <w:noWrap w:val="0"/>
            <w:vAlign w:val="center"/>
          </w:tcPr>
          <w:p w14:paraId="43283918">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不构成</w:t>
            </w:r>
          </w:p>
        </w:tc>
      </w:tr>
      <w:tr w14:paraId="107335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65" w:type="pct"/>
            <w:noWrap w:val="0"/>
            <w:vAlign w:val="center"/>
          </w:tcPr>
          <w:p w14:paraId="037D5F38">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13</w:t>
            </w:r>
          </w:p>
        </w:tc>
        <w:tc>
          <w:tcPr>
            <w:tcW w:w="2750" w:type="pct"/>
            <w:noWrap w:val="0"/>
            <w:vAlign w:val="center"/>
          </w:tcPr>
          <w:p w14:paraId="72EB2707">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left"/>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擅自对在用排土场进行回采作业。</w:t>
            </w:r>
          </w:p>
        </w:tc>
        <w:tc>
          <w:tcPr>
            <w:tcW w:w="1258" w:type="pct"/>
            <w:noWrap w:val="0"/>
            <w:vAlign w:val="center"/>
          </w:tcPr>
          <w:p w14:paraId="34BAF8D3">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无排土场，不涉及</w:t>
            </w:r>
          </w:p>
        </w:tc>
        <w:tc>
          <w:tcPr>
            <w:tcW w:w="625" w:type="pct"/>
            <w:noWrap w:val="0"/>
            <w:vAlign w:val="center"/>
          </w:tcPr>
          <w:p w14:paraId="67E60599">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不构成</w:t>
            </w:r>
          </w:p>
        </w:tc>
      </w:tr>
      <w:tr w14:paraId="49F487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365" w:type="pct"/>
            <w:noWrap w:val="0"/>
            <w:vAlign w:val="center"/>
          </w:tcPr>
          <w:p w14:paraId="7E905F17">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14</w:t>
            </w:r>
          </w:p>
        </w:tc>
        <w:tc>
          <w:tcPr>
            <w:tcW w:w="2750" w:type="pct"/>
            <w:noWrap w:val="0"/>
            <w:vAlign w:val="center"/>
          </w:tcPr>
          <w:p w14:paraId="01F25518">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left"/>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办公区、生活区等人员集聚场所设在危崖、塌陷区、崩落区，或洪水、泥石流、滑坡等灾害威胁范围内。</w:t>
            </w:r>
          </w:p>
        </w:tc>
        <w:tc>
          <w:tcPr>
            <w:tcW w:w="1258" w:type="pct"/>
            <w:noWrap w:val="0"/>
            <w:vAlign w:val="center"/>
          </w:tcPr>
          <w:p w14:paraId="5070FDA7">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无此现象</w:t>
            </w:r>
          </w:p>
        </w:tc>
        <w:tc>
          <w:tcPr>
            <w:tcW w:w="625" w:type="pct"/>
            <w:noWrap w:val="0"/>
            <w:vAlign w:val="center"/>
          </w:tcPr>
          <w:p w14:paraId="16291F24">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不构成</w:t>
            </w:r>
          </w:p>
        </w:tc>
      </w:tr>
      <w:tr w14:paraId="264362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365" w:type="pct"/>
            <w:noWrap w:val="0"/>
            <w:vAlign w:val="center"/>
          </w:tcPr>
          <w:p w14:paraId="1EC8DC60">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15</w:t>
            </w:r>
          </w:p>
        </w:tc>
        <w:tc>
          <w:tcPr>
            <w:tcW w:w="2750" w:type="pct"/>
            <w:noWrap w:val="0"/>
            <w:vAlign w:val="center"/>
          </w:tcPr>
          <w:p w14:paraId="0D45EE4C">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left"/>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遇极端天气露天矿山未及时停止作业、撤出现场作业人员。</w:t>
            </w:r>
          </w:p>
        </w:tc>
        <w:tc>
          <w:tcPr>
            <w:tcW w:w="1258" w:type="pct"/>
            <w:noWrap w:val="0"/>
            <w:vAlign w:val="center"/>
          </w:tcPr>
          <w:p w14:paraId="2F57D165">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无此现象</w:t>
            </w:r>
          </w:p>
        </w:tc>
        <w:tc>
          <w:tcPr>
            <w:tcW w:w="625" w:type="pct"/>
            <w:noWrap w:val="0"/>
            <w:vAlign w:val="center"/>
          </w:tcPr>
          <w:p w14:paraId="6AB5526E">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不构成</w:t>
            </w:r>
          </w:p>
        </w:tc>
      </w:tr>
    </w:tbl>
    <w:p w14:paraId="24BE6BAB">
      <w:pPr>
        <w:bidi w:val="0"/>
        <w:rPr>
          <w:rFonts w:hint="default"/>
          <w:color w:val="auto"/>
          <w:lang w:val="en-US" w:eastAsia="zh-CN"/>
        </w:rPr>
      </w:pPr>
      <w:r>
        <w:rPr>
          <w:rFonts w:hint="default"/>
          <w:color w:val="auto"/>
          <w:lang w:val="en-US" w:eastAsia="zh-CN"/>
        </w:rPr>
        <w:t>评价小结</w:t>
      </w:r>
      <w:r>
        <w:rPr>
          <w:rFonts w:hint="eastAsia"/>
          <w:color w:val="auto"/>
          <w:lang w:val="en-US" w:eastAsia="zh-CN"/>
        </w:rPr>
        <w:t>：</w:t>
      </w:r>
      <w:r>
        <w:rPr>
          <w:rFonts w:hint="default"/>
          <w:color w:val="auto"/>
          <w:lang w:val="en-US" w:eastAsia="zh-CN"/>
        </w:rPr>
        <w:t>通过安全检查表分析可知，重大生产安全事故隐患判定单元共检查</w:t>
      </w:r>
      <w:r>
        <w:rPr>
          <w:rFonts w:hint="eastAsia"/>
          <w:color w:val="auto"/>
          <w:lang w:val="en-US" w:eastAsia="zh-CN"/>
        </w:rPr>
        <w:t>15</w:t>
      </w:r>
      <w:r>
        <w:rPr>
          <w:rFonts w:hint="default"/>
          <w:color w:val="auto"/>
          <w:lang w:val="en-US" w:eastAsia="zh-CN"/>
        </w:rPr>
        <w:t>项，均符合要求，不构成重大安全事故隐患。</w:t>
      </w:r>
    </w:p>
    <w:p w14:paraId="394C6107">
      <w:pPr>
        <w:pStyle w:val="3"/>
        <w:bidi w:val="0"/>
        <w:rPr>
          <w:rFonts w:hint="eastAsia"/>
          <w:color w:val="auto"/>
          <w:lang w:val="en-US" w:eastAsia="zh-CN"/>
        </w:rPr>
      </w:pPr>
      <w:bookmarkStart w:id="327" w:name="_Toc29880"/>
      <w:bookmarkStart w:id="328" w:name="_Toc11450"/>
      <w:bookmarkStart w:id="329" w:name="_Toc576"/>
      <w:r>
        <w:rPr>
          <w:rFonts w:hint="eastAsia"/>
          <w:color w:val="auto"/>
          <w:lang w:val="en-US" w:eastAsia="zh-CN"/>
        </w:rPr>
        <w:t>5.8 综合评价单元</w:t>
      </w:r>
      <w:bookmarkEnd w:id="327"/>
      <w:bookmarkEnd w:id="328"/>
      <w:bookmarkEnd w:id="329"/>
    </w:p>
    <w:p w14:paraId="207CB0B8">
      <w:pPr>
        <w:pStyle w:val="4"/>
        <w:bidi w:val="0"/>
        <w:rPr>
          <w:rFonts w:hint="default"/>
          <w:color w:val="auto"/>
          <w:lang w:val="en-US" w:eastAsia="zh-CN"/>
        </w:rPr>
      </w:pPr>
      <w:bookmarkStart w:id="330" w:name="_Toc26654"/>
      <w:bookmarkStart w:id="331" w:name="_Toc26280"/>
      <w:bookmarkStart w:id="332" w:name="_Toc17202"/>
      <w:r>
        <w:rPr>
          <w:rFonts w:hint="default"/>
          <w:color w:val="auto"/>
          <w:lang w:val="en-US" w:eastAsia="zh-CN"/>
        </w:rPr>
        <w:t>5.8.1</w:t>
      </w:r>
      <w:r>
        <w:rPr>
          <w:rFonts w:hint="eastAsia"/>
          <w:color w:val="auto"/>
          <w:lang w:val="en-US" w:eastAsia="zh-CN"/>
        </w:rPr>
        <w:t xml:space="preserve"> </w:t>
      </w:r>
      <w:r>
        <w:rPr>
          <w:rFonts w:hint="default"/>
          <w:color w:val="auto"/>
          <w:lang w:val="en-US" w:eastAsia="zh-CN"/>
        </w:rPr>
        <w:t>安全检查表</w:t>
      </w:r>
      <w:bookmarkEnd w:id="330"/>
      <w:bookmarkEnd w:id="331"/>
      <w:bookmarkEnd w:id="332"/>
    </w:p>
    <w:p w14:paraId="00E63F1B">
      <w:pPr>
        <w:rPr>
          <w:rFonts w:hint="default"/>
          <w:color w:val="auto"/>
          <w:lang w:val="en-US" w:eastAsia="zh-CN"/>
        </w:rPr>
      </w:pPr>
      <w:r>
        <w:rPr>
          <w:rFonts w:hint="default"/>
          <w:color w:val="auto"/>
          <w:lang w:val="en-US" w:eastAsia="zh-CN"/>
        </w:rPr>
        <w:t>运用安全检查表对</w:t>
      </w:r>
      <w:r>
        <w:rPr>
          <w:rFonts w:hint="eastAsia"/>
          <w:color w:val="auto"/>
          <w:lang w:val="en-US" w:eastAsia="zh-CN"/>
        </w:rPr>
        <w:t>本</w:t>
      </w:r>
      <w:r>
        <w:rPr>
          <w:rFonts w:hint="default"/>
          <w:color w:val="auto"/>
          <w:lang w:val="en-US" w:eastAsia="zh-CN"/>
        </w:rPr>
        <w:t>矿山综合系统进行评价，对照检查表说明，从而判定矿山的安全等别，具体见表5</w:t>
      </w:r>
      <w:r>
        <w:rPr>
          <w:rFonts w:hint="eastAsia"/>
          <w:color w:val="auto"/>
          <w:lang w:val="en-US" w:eastAsia="zh-CN"/>
        </w:rPr>
        <w:t>.8</w:t>
      </w:r>
      <w:r>
        <w:rPr>
          <w:rFonts w:hint="default"/>
          <w:color w:val="auto"/>
          <w:lang w:val="en-US" w:eastAsia="zh-CN"/>
        </w:rPr>
        <w:t>-1、5</w:t>
      </w:r>
      <w:r>
        <w:rPr>
          <w:rFonts w:hint="eastAsia"/>
          <w:color w:val="auto"/>
          <w:lang w:val="en-US" w:eastAsia="zh-CN"/>
        </w:rPr>
        <w:t>.8-2</w:t>
      </w:r>
      <w:r>
        <w:rPr>
          <w:rFonts w:hint="default"/>
          <w:color w:val="auto"/>
          <w:lang w:val="en-US" w:eastAsia="zh-CN"/>
        </w:rPr>
        <w:t>。</w:t>
      </w:r>
    </w:p>
    <w:p w14:paraId="5BBE9407">
      <w:pPr>
        <w:ind w:left="0" w:leftChars="0" w:firstLine="0" w:firstLineChars="0"/>
        <w:jc w:val="center"/>
        <w:rPr>
          <w:rFonts w:hint="eastAsia"/>
          <w:color w:val="auto"/>
          <w:lang w:val="en-US" w:eastAsia="zh-CN"/>
        </w:rPr>
      </w:pPr>
      <w:r>
        <w:rPr>
          <w:rFonts w:hint="default"/>
          <w:color w:val="auto"/>
          <w:lang w:val="en-US" w:eastAsia="zh-CN"/>
        </w:rPr>
        <w:t>表5</w:t>
      </w:r>
      <w:r>
        <w:rPr>
          <w:rFonts w:hint="eastAsia"/>
          <w:color w:val="auto"/>
          <w:lang w:val="en-US" w:eastAsia="zh-CN"/>
        </w:rPr>
        <w:t>.8</w:t>
      </w:r>
      <w:r>
        <w:rPr>
          <w:rFonts w:hint="default"/>
          <w:color w:val="auto"/>
          <w:lang w:val="en-US" w:eastAsia="zh-CN"/>
        </w:rPr>
        <w:t>-1</w:t>
      </w:r>
      <w:r>
        <w:rPr>
          <w:rFonts w:hint="eastAsia"/>
          <w:color w:val="auto"/>
          <w:lang w:val="en-US" w:eastAsia="zh-CN"/>
        </w:rPr>
        <w:t xml:space="preserve"> 综合安全检查表</w:t>
      </w:r>
    </w:p>
    <w:tbl>
      <w:tblPr>
        <w:tblStyle w:val="18"/>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6"/>
        <w:gridCol w:w="2086"/>
        <w:gridCol w:w="1434"/>
        <w:gridCol w:w="1521"/>
        <w:gridCol w:w="1629"/>
        <w:gridCol w:w="1566"/>
      </w:tblGrid>
      <w:tr w14:paraId="7C315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blHeader/>
          <w:jc w:val="center"/>
        </w:trPr>
        <w:tc>
          <w:tcPr>
            <w:tcW w:w="563" w:type="pct"/>
            <w:noWrap w:val="0"/>
            <w:vAlign w:val="center"/>
          </w:tcPr>
          <w:p w14:paraId="06A554D6">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b/>
                <w:bCs/>
                <w:color w:val="auto"/>
                <w:kern w:val="0"/>
                <w:sz w:val="21"/>
                <w:szCs w:val="21"/>
                <w:lang w:val="en-US" w:eastAsia="zh-CN" w:bidi="ar-SA"/>
              </w:rPr>
            </w:pPr>
            <w:r>
              <w:rPr>
                <w:rFonts w:ascii="Times New Roman" w:hAnsi="宋体" w:eastAsia="宋体" w:cs="Times New Roman"/>
                <w:b/>
                <w:bCs/>
                <w:color w:val="auto"/>
                <w:kern w:val="0"/>
                <w:sz w:val="21"/>
                <w:szCs w:val="21"/>
                <w:lang w:val="en-US" w:eastAsia="zh-CN" w:bidi="ar-SA"/>
              </w:rPr>
              <w:t>序号</w:t>
            </w:r>
          </w:p>
        </w:tc>
        <w:tc>
          <w:tcPr>
            <w:tcW w:w="1123" w:type="pct"/>
            <w:noWrap w:val="0"/>
            <w:vAlign w:val="center"/>
          </w:tcPr>
          <w:p w14:paraId="5EFB78B6">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b/>
                <w:bCs/>
                <w:color w:val="auto"/>
                <w:kern w:val="0"/>
                <w:sz w:val="21"/>
                <w:szCs w:val="21"/>
                <w:lang w:val="en-US" w:eastAsia="zh-CN" w:bidi="ar-SA"/>
              </w:rPr>
            </w:pPr>
            <w:r>
              <w:rPr>
                <w:rFonts w:ascii="Times New Roman" w:hAnsi="宋体" w:eastAsia="宋体" w:cs="Times New Roman"/>
                <w:b/>
                <w:bCs/>
                <w:color w:val="auto"/>
                <w:kern w:val="0"/>
                <w:sz w:val="21"/>
                <w:szCs w:val="21"/>
                <w:lang w:val="en-US" w:eastAsia="zh-CN" w:bidi="ar-SA"/>
              </w:rPr>
              <w:t>评价单元</w:t>
            </w:r>
          </w:p>
        </w:tc>
        <w:tc>
          <w:tcPr>
            <w:tcW w:w="772" w:type="pct"/>
            <w:noWrap w:val="0"/>
            <w:vAlign w:val="center"/>
          </w:tcPr>
          <w:p w14:paraId="52FF43A5">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b/>
                <w:bCs/>
                <w:color w:val="auto"/>
                <w:kern w:val="0"/>
                <w:sz w:val="21"/>
                <w:szCs w:val="21"/>
                <w:lang w:val="en-US" w:eastAsia="zh-CN" w:bidi="ar-SA"/>
              </w:rPr>
            </w:pPr>
            <w:r>
              <w:rPr>
                <w:rFonts w:hint="eastAsia" w:ascii="Times New Roman" w:hAnsi="宋体" w:eastAsia="宋体" w:cs="Times New Roman"/>
                <w:b/>
                <w:bCs/>
                <w:color w:val="auto"/>
                <w:kern w:val="0"/>
                <w:sz w:val="21"/>
                <w:szCs w:val="21"/>
                <w:lang w:val="en-US" w:eastAsia="zh-CN" w:bidi="ar-SA"/>
              </w:rPr>
              <w:t>总分</w:t>
            </w:r>
          </w:p>
        </w:tc>
        <w:tc>
          <w:tcPr>
            <w:tcW w:w="819" w:type="pct"/>
            <w:noWrap w:val="0"/>
            <w:vAlign w:val="center"/>
          </w:tcPr>
          <w:p w14:paraId="47178097">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b/>
                <w:bCs/>
                <w:color w:val="auto"/>
                <w:kern w:val="0"/>
                <w:sz w:val="21"/>
                <w:szCs w:val="21"/>
                <w:lang w:val="en-US" w:eastAsia="zh-CN" w:bidi="ar-SA"/>
              </w:rPr>
            </w:pPr>
            <w:r>
              <w:rPr>
                <w:rFonts w:ascii="Times New Roman" w:hAnsi="宋体" w:eastAsia="宋体" w:cs="Times New Roman"/>
                <w:b/>
                <w:bCs/>
                <w:color w:val="auto"/>
                <w:kern w:val="0"/>
                <w:sz w:val="21"/>
                <w:szCs w:val="21"/>
                <w:lang w:val="en-US" w:eastAsia="zh-CN" w:bidi="ar-SA"/>
              </w:rPr>
              <w:t>得分</w:t>
            </w:r>
          </w:p>
        </w:tc>
        <w:tc>
          <w:tcPr>
            <w:tcW w:w="877" w:type="pct"/>
            <w:noWrap w:val="0"/>
            <w:vAlign w:val="center"/>
          </w:tcPr>
          <w:p w14:paraId="085EBFA5">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b/>
                <w:bCs/>
                <w:color w:val="auto"/>
                <w:kern w:val="0"/>
                <w:sz w:val="21"/>
                <w:szCs w:val="21"/>
                <w:lang w:val="en-US" w:eastAsia="zh-CN" w:bidi="ar-SA"/>
              </w:rPr>
            </w:pPr>
            <w:r>
              <w:rPr>
                <w:rFonts w:ascii="Times New Roman" w:hAnsi="宋体" w:eastAsia="宋体" w:cs="Times New Roman"/>
                <w:b/>
                <w:bCs/>
                <w:color w:val="auto"/>
                <w:kern w:val="0"/>
                <w:sz w:val="21"/>
                <w:szCs w:val="21"/>
                <w:lang w:val="en-US" w:eastAsia="zh-CN" w:bidi="ar-SA"/>
              </w:rPr>
              <w:t>得分率/%</w:t>
            </w:r>
          </w:p>
        </w:tc>
        <w:tc>
          <w:tcPr>
            <w:tcW w:w="843" w:type="pct"/>
            <w:noWrap w:val="0"/>
            <w:vAlign w:val="center"/>
          </w:tcPr>
          <w:p w14:paraId="73C90DAE">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b/>
                <w:bCs/>
                <w:color w:val="auto"/>
                <w:kern w:val="0"/>
                <w:sz w:val="21"/>
                <w:szCs w:val="21"/>
                <w:lang w:val="en-US" w:eastAsia="zh-CN" w:bidi="ar-SA"/>
              </w:rPr>
            </w:pPr>
            <w:r>
              <w:rPr>
                <w:rFonts w:ascii="Times New Roman" w:hAnsi="宋体" w:eastAsia="宋体" w:cs="Times New Roman"/>
                <w:b/>
                <w:bCs/>
                <w:color w:val="auto"/>
                <w:kern w:val="0"/>
                <w:sz w:val="21"/>
                <w:szCs w:val="21"/>
                <w:lang w:val="en-US" w:eastAsia="zh-CN" w:bidi="ar-SA"/>
              </w:rPr>
              <w:t>备注</w:t>
            </w:r>
          </w:p>
        </w:tc>
      </w:tr>
      <w:tr w14:paraId="154396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tblHeader/>
          <w:jc w:val="center"/>
        </w:trPr>
        <w:tc>
          <w:tcPr>
            <w:tcW w:w="563" w:type="pct"/>
            <w:noWrap w:val="0"/>
            <w:vAlign w:val="center"/>
          </w:tcPr>
          <w:p w14:paraId="54096560">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1</w:t>
            </w:r>
          </w:p>
        </w:tc>
        <w:tc>
          <w:tcPr>
            <w:tcW w:w="1123" w:type="pct"/>
            <w:noWrap w:val="0"/>
            <w:vAlign w:val="center"/>
          </w:tcPr>
          <w:p w14:paraId="7EB25733">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安全管理</w:t>
            </w:r>
          </w:p>
        </w:tc>
        <w:tc>
          <w:tcPr>
            <w:tcW w:w="772" w:type="pct"/>
            <w:noWrap w:val="0"/>
            <w:vAlign w:val="center"/>
          </w:tcPr>
          <w:p w14:paraId="1B6207AE">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120</w:t>
            </w:r>
          </w:p>
        </w:tc>
        <w:tc>
          <w:tcPr>
            <w:tcW w:w="819" w:type="pct"/>
            <w:noWrap w:val="0"/>
            <w:vAlign w:val="center"/>
          </w:tcPr>
          <w:p w14:paraId="61D7881A">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10</w:t>
            </w:r>
            <w:r>
              <w:rPr>
                <w:rFonts w:hint="eastAsia" w:hAnsi="宋体" w:cs="Times New Roman"/>
                <w:color w:val="auto"/>
                <w:kern w:val="0"/>
                <w:sz w:val="21"/>
                <w:szCs w:val="21"/>
                <w:lang w:val="en-US" w:eastAsia="zh-CN" w:bidi="ar-SA"/>
              </w:rPr>
              <w:t>4</w:t>
            </w:r>
          </w:p>
        </w:tc>
        <w:tc>
          <w:tcPr>
            <w:tcW w:w="877" w:type="pct"/>
            <w:noWrap w:val="0"/>
            <w:vAlign w:val="center"/>
          </w:tcPr>
          <w:p w14:paraId="7B6CD68E">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8</w:t>
            </w:r>
            <w:r>
              <w:rPr>
                <w:rFonts w:hint="eastAsia" w:hAnsi="宋体" w:cs="Times New Roman"/>
                <w:color w:val="auto"/>
                <w:kern w:val="0"/>
                <w:sz w:val="21"/>
                <w:szCs w:val="21"/>
                <w:lang w:val="en-US" w:eastAsia="zh-CN" w:bidi="ar-SA"/>
              </w:rPr>
              <w:t>6.67</w:t>
            </w:r>
          </w:p>
        </w:tc>
        <w:tc>
          <w:tcPr>
            <w:tcW w:w="843" w:type="pct"/>
            <w:noWrap w:val="0"/>
            <w:vAlign w:val="center"/>
          </w:tcPr>
          <w:p w14:paraId="34FD43DA">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w:t>
            </w:r>
          </w:p>
        </w:tc>
      </w:tr>
      <w:tr w14:paraId="094797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tblHeader/>
          <w:jc w:val="center"/>
        </w:trPr>
        <w:tc>
          <w:tcPr>
            <w:tcW w:w="563" w:type="pct"/>
            <w:noWrap w:val="0"/>
            <w:vAlign w:val="center"/>
          </w:tcPr>
          <w:p w14:paraId="0F4D07C2">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2</w:t>
            </w:r>
          </w:p>
        </w:tc>
        <w:tc>
          <w:tcPr>
            <w:tcW w:w="1123" w:type="pct"/>
            <w:noWrap w:val="0"/>
            <w:vAlign w:val="center"/>
          </w:tcPr>
          <w:p w14:paraId="6231DF4A">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露天采场</w:t>
            </w:r>
          </w:p>
        </w:tc>
        <w:tc>
          <w:tcPr>
            <w:tcW w:w="772" w:type="pct"/>
            <w:noWrap w:val="0"/>
            <w:vAlign w:val="center"/>
          </w:tcPr>
          <w:p w14:paraId="11E3151C">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190</w:t>
            </w:r>
          </w:p>
        </w:tc>
        <w:tc>
          <w:tcPr>
            <w:tcW w:w="819" w:type="pct"/>
            <w:noWrap w:val="0"/>
            <w:vAlign w:val="center"/>
          </w:tcPr>
          <w:p w14:paraId="0706EFDA">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18</w:t>
            </w:r>
            <w:r>
              <w:rPr>
                <w:rFonts w:hint="eastAsia" w:hAnsi="宋体" w:cs="Times New Roman"/>
                <w:color w:val="auto"/>
                <w:kern w:val="0"/>
                <w:sz w:val="21"/>
                <w:szCs w:val="21"/>
                <w:lang w:val="en-US" w:eastAsia="zh-CN" w:bidi="ar-SA"/>
              </w:rPr>
              <w:t>1</w:t>
            </w:r>
          </w:p>
        </w:tc>
        <w:tc>
          <w:tcPr>
            <w:tcW w:w="877" w:type="pct"/>
            <w:noWrap w:val="0"/>
            <w:vAlign w:val="center"/>
          </w:tcPr>
          <w:p w14:paraId="2791623A">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95.26</w:t>
            </w:r>
          </w:p>
        </w:tc>
        <w:tc>
          <w:tcPr>
            <w:tcW w:w="843" w:type="pct"/>
            <w:noWrap w:val="0"/>
            <w:vAlign w:val="center"/>
          </w:tcPr>
          <w:p w14:paraId="1AC57601">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w:t>
            </w:r>
          </w:p>
        </w:tc>
      </w:tr>
      <w:tr w14:paraId="38F587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blHeader/>
          <w:jc w:val="center"/>
        </w:trPr>
        <w:tc>
          <w:tcPr>
            <w:tcW w:w="563" w:type="pct"/>
            <w:noWrap w:val="0"/>
            <w:vAlign w:val="center"/>
          </w:tcPr>
          <w:p w14:paraId="6B67A237">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3</w:t>
            </w:r>
          </w:p>
        </w:tc>
        <w:tc>
          <w:tcPr>
            <w:tcW w:w="1123" w:type="pct"/>
            <w:noWrap w:val="0"/>
            <w:vAlign w:val="center"/>
          </w:tcPr>
          <w:p w14:paraId="2B5ED049">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边坡管理</w:t>
            </w:r>
          </w:p>
        </w:tc>
        <w:tc>
          <w:tcPr>
            <w:tcW w:w="772" w:type="pct"/>
            <w:noWrap w:val="0"/>
            <w:vAlign w:val="center"/>
          </w:tcPr>
          <w:p w14:paraId="0FAE5D49">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40</w:t>
            </w:r>
          </w:p>
        </w:tc>
        <w:tc>
          <w:tcPr>
            <w:tcW w:w="819" w:type="pct"/>
            <w:noWrap w:val="0"/>
            <w:vAlign w:val="center"/>
          </w:tcPr>
          <w:p w14:paraId="4025686B">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35</w:t>
            </w:r>
          </w:p>
        </w:tc>
        <w:tc>
          <w:tcPr>
            <w:tcW w:w="877" w:type="pct"/>
            <w:noWrap w:val="0"/>
            <w:vAlign w:val="center"/>
          </w:tcPr>
          <w:p w14:paraId="713A2A48">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87.50</w:t>
            </w:r>
          </w:p>
        </w:tc>
        <w:tc>
          <w:tcPr>
            <w:tcW w:w="843" w:type="pct"/>
            <w:noWrap w:val="0"/>
            <w:vAlign w:val="center"/>
          </w:tcPr>
          <w:p w14:paraId="58E33D1A">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w:t>
            </w:r>
          </w:p>
        </w:tc>
      </w:tr>
      <w:tr w14:paraId="6C2F1C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blHeader/>
          <w:jc w:val="center"/>
        </w:trPr>
        <w:tc>
          <w:tcPr>
            <w:tcW w:w="563" w:type="pct"/>
            <w:noWrap w:val="0"/>
            <w:vAlign w:val="center"/>
          </w:tcPr>
          <w:p w14:paraId="41E9D5EE">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4</w:t>
            </w:r>
          </w:p>
        </w:tc>
        <w:tc>
          <w:tcPr>
            <w:tcW w:w="1123" w:type="pct"/>
            <w:noWrap w:val="0"/>
            <w:vAlign w:val="center"/>
          </w:tcPr>
          <w:p w14:paraId="729F983E">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供配电设施</w:t>
            </w:r>
          </w:p>
        </w:tc>
        <w:tc>
          <w:tcPr>
            <w:tcW w:w="772" w:type="pct"/>
            <w:noWrap w:val="0"/>
            <w:vAlign w:val="center"/>
          </w:tcPr>
          <w:p w14:paraId="439A0BFC">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hAnsi="宋体" w:cs="Times New Roman"/>
                <w:color w:val="auto"/>
                <w:kern w:val="0"/>
                <w:sz w:val="21"/>
                <w:szCs w:val="21"/>
                <w:lang w:val="en-US" w:eastAsia="zh-CN" w:bidi="ar-SA"/>
              </w:rPr>
              <w:t>62</w:t>
            </w:r>
          </w:p>
        </w:tc>
        <w:tc>
          <w:tcPr>
            <w:tcW w:w="819" w:type="pct"/>
            <w:noWrap w:val="0"/>
            <w:vAlign w:val="center"/>
          </w:tcPr>
          <w:p w14:paraId="1C63D7A9">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hAnsi="宋体" w:cs="Times New Roman"/>
                <w:color w:val="auto"/>
                <w:kern w:val="0"/>
                <w:sz w:val="21"/>
                <w:szCs w:val="21"/>
                <w:lang w:val="en-US" w:eastAsia="zh-CN" w:bidi="ar-SA"/>
              </w:rPr>
              <w:t>56</w:t>
            </w:r>
          </w:p>
        </w:tc>
        <w:tc>
          <w:tcPr>
            <w:tcW w:w="877" w:type="pct"/>
            <w:noWrap w:val="0"/>
            <w:vAlign w:val="center"/>
          </w:tcPr>
          <w:p w14:paraId="7C36C69F">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hAnsi="宋体" w:cs="Times New Roman"/>
                <w:color w:val="auto"/>
                <w:kern w:val="0"/>
                <w:sz w:val="21"/>
                <w:szCs w:val="21"/>
                <w:lang w:val="en-US" w:eastAsia="zh-CN" w:bidi="ar-SA"/>
              </w:rPr>
              <w:t>90.32</w:t>
            </w:r>
          </w:p>
        </w:tc>
        <w:tc>
          <w:tcPr>
            <w:tcW w:w="843" w:type="pct"/>
            <w:noWrap w:val="0"/>
            <w:vAlign w:val="center"/>
          </w:tcPr>
          <w:p w14:paraId="10C00D39">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w:t>
            </w:r>
          </w:p>
        </w:tc>
      </w:tr>
      <w:tr w14:paraId="5EF773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tblHeader/>
          <w:jc w:val="center"/>
        </w:trPr>
        <w:tc>
          <w:tcPr>
            <w:tcW w:w="563" w:type="pct"/>
            <w:noWrap w:val="0"/>
            <w:vAlign w:val="center"/>
          </w:tcPr>
          <w:p w14:paraId="20B9A888">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5</w:t>
            </w:r>
          </w:p>
        </w:tc>
        <w:tc>
          <w:tcPr>
            <w:tcW w:w="1123" w:type="pct"/>
            <w:noWrap w:val="0"/>
            <w:vAlign w:val="center"/>
          </w:tcPr>
          <w:p w14:paraId="05079E44">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防排水</w:t>
            </w:r>
          </w:p>
        </w:tc>
        <w:tc>
          <w:tcPr>
            <w:tcW w:w="772" w:type="pct"/>
            <w:noWrap w:val="0"/>
            <w:vAlign w:val="center"/>
          </w:tcPr>
          <w:p w14:paraId="5C4D9D71">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24</w:t>
            </w:r>
          </w:p>
        </w:tc>
        <w:tc>
          <w:tcPr>
            <w:tcW w:w="819" w:type="pct"/>
            <w:noWrap w:val="0"/>
            <w:vAlign w:val="center"/>
          </w:tcPr>
          <w:p w14:paraId="08E99065">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24</w:t>
            </w:r>
          </w:p>
        </w:tc>
        <w:tc>
          <w:tcPr>
            <w:tcW w:w="877" w:type="pct"/>
            <w:noWrap w:val="0"/>
            <w:vAlign w:val="center"/>
          </w:tcPr>
          <w:p w14:paraId="6AB9053D">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100</w:t>
            </w:r>
          </w:p>
        </w:tc>
        <w:tc>
          <w:tcPr>
            <w:tcW w:w="843" w:type="pct"/>
            <w:noWrap w:val="0"/>
            <w:vAlign w:val="center"/>
          </w:tcPr>
          <w:p w14:paraId="4844586B">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w:t>
            </w:r>
          </w:p>
        </w:tc>
      </w:tr>
      <w:tr w14:paraId="7235FD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blHeader/>
          <w:jc w:val="center"/>
        </w:trPr>
        <w:tc>
          <w:tcPr>
            <w:tcW w:w="563" w:type="pct"/>
            <w:noWrap w:val="0"/>
            <w:vAlign w:val="center"/>
          </w:tcPr>
          <w:p w14:paraId="34EAFE7E">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6</w:t>
            </w:r>
          </w:p>
        </w:tc>
        <w:tc>
          <w:tcPr>
            <w:tcW w:w="1123" w:type="pct"/>
            <w:noWrap w:val="0"/>
            <w:vAlign w:val="center"/>
          </w:tcPr>
          <w:p w14:paraId="3CB1C200">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防灭火</w:t>
            </w:r>
          </w:p>
        </w:tc>
        <w:tc>
          <w:tcPr>
            <w:tcW w:w="772" w:type="pct"/>
            <w:noWrap w:val="0"/>
            <w:vAlign w:val="center"/>
          </w:tcPr>
          <w:p w14:paraId="7516E51E">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12</w:t>
            </w:r>
          </w:p>
        </w:tc>
        <w:tc>
          <w:tcPr>
            <w:tcW w:w="819" w:type="pct"/>
            <w:noWrap w:val="0"/>
            <w:vAlign w:val="center"/>
          </w:tcPr>
          <w:p w14:paraId="0FA061E5">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12</w:t>
            </w:r>
          </w:p>
        </w:tc>
        <w:tc>
          <w:tcPr>
            <w:tcW w:w="877" w:type="pct"/>
            <w:noWrap w:val="0"/>
            <w:vAlign w:val="center"/>
          </w:tcPr>
          <w:p w14:paraId="32B7B98F">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100</w:t>
            </w:r>
          </w:p>
        </w:tc>
        <w:tc>
          <w:tcPr>
            <w:tcW w:w="843" w:type="pct"/>
            <w:noWrap w:val="0"/>
            <w:vAlign w:val="center"/>
          </w:tcPr>
          <w:p w14:paraId="7E896914">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w:t>
            </w:r>
          </w:p>
        </w:tc>
      </w:tr>
      <w:tr w14:paraId="5B5C29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blHeader/>
          <w:jc w:val="center"/>
        </w:trPr>
        <w:tc>
          <w:tcPr>
            <w:tcW w:w="1686" w:type="pct"/>
            <w:gridSpan w:val="2"/>
            <w:noWrap w:val="0"/>
            <w:vAlign w:val="center"/>
          </w:tcPr>
          <w:p w14:paraId="1044629C">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eastAsia"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综合</w:t>
            </w:r>
          </w:p>
        </w:tc>
        <w:tc>
          <w:tcPr>
            <w:tcW w:w="772" w:type="pct"/>
            <w:noWrap w:val="0"/>
            <w:vAlign w:val="center"/>
          </w:tcPr>
          <w:p w14:paraId="43E25E97">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hAnsi="宋体" w:cs="Times New Roman"/>
                <w:color w:val="auto"/>
                <w:kern w:val="0"/>
                <w:sz w:val="21"/>
                <w:szCs w:val="21"/>
                <w:lang w:val="en-US" w:eastAsia="zh-CN" w:bidi="ar-SA"/>
              </w:rPr>
              <w:t>448</w:t>
            </w:r>
          </w:p>
        </w:tc>
        <w:tc>
          <w:tcPr>
            <w:tcW w:w="819" w:type="pct"/>
            <w:noWrap w:val="0"/>
            <w:vAlign w:val="center"/>
          </w:tcPr>
          <w:p w14:paraId="284721C4">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hAnsi="宋体" w:cs="Times New Roman"/>
                <w:color w:val="auto"/>
                <w:kern w:val="0"/>
                <w:sz w:val="21"/>
                <w:szCs w:val="21"/>
                <w:lang w:val="en-US" w:eastAsia="zh-CN" w:bidi="ar-SA"/>
              </w:rPr>
              <w:t>412</w:t>
            </w:r>
          </w:p>
        </w:tc>
        <w:tc>
          <w:tcPr>
            <w:tcW w:w="877" w:type="pct"/>
            <w:noWrap w:val="0"/>
            <w:vAlign w:val="center"/>
          </w:tcPr>
          <w:p w14:paraId="76D04BBB">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hAnsi="宋体" w:cs="Times New Roman"/>
                <w:color w:val="auto"/>
                <w:kern w:val="0"/>
                <w:sz w:val="21"/>
                <w:szCs w:val="21"/>
                <w:lang w:val="en-US" w:eastAsia="zh-CN" w:bidi="ar-SA"/>
              </w:rPr>
              <w:t>91.96</w:t>
            </w:r>
          </w:p>
        </w:tc>
        <w:tc>
          <w:tcPr>
            <w:tcW w:w="843" w:type="pct"/>
            <w:noWrap w:val="0"/>
            <w:vAlign w:val="center"/>
          </w:tcPr>
          <w:p w14:paraId="6FCA1713">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w:t>
            </w:r>
          </w:p>
        </w:tc>
      </w:tr>
    </w:tbl>
    <w:p w14:paraId="1E653282">
      <w:pPr>
        <w:ind w:left="0" w:leftChars="0" w:firstLine="0" w:firstLineChars="0"/>
        <w:jc w:val="center"/>
        <w:rPr>
          <w:rFonts w:hint="eastAsia"/>
          <w:color w:val="auto"/>
          <w:lang w:val="en-US" w:eastAsia="zh-CN"/>
        </w:rPr>
      </w:pPr>
      <w:r>
        <w:rPr>
          <w:rFonts w:hint="default"/>
          <w:color w:val="auto"/>
          <w:lang w:val="en-US" w:eastAsia="zh-CN"/>
        </w:rPr>
        <w:t>表5</w:t>
      </w:r>
      <w:r>
        <w:rPr>
          <w:rFonts w:hint="eastAsia"/>
          <w:color w:val="auto"/>
          <w:lang w:val="en-US" w:eastAsia="zh-CN"/>
        </w:rPr>
        <w:t>.8</w:t>
      </w:r>
      <w:r>
        <w:rPr>
          <w:rFonts w:hint="default"/>
          <w:color w:val="auto"/>
          <w:lang w:val="en-US" w:eastAsia="zh-CN"/>
        </w:rPr>
        <w:t>-</w:t>
      </w:r>
      <w:r>
        <w:rPr>
          <w:rFonts w:hint="eastAsia"/>
          <w:color w:val="auto"/>
          <w:lang w:val="en-US" w:eastAsia="zh-CN"/>
        </w:rPr>
        <w:t>2 检查表说明</w:t>
      </w:r>
    </w:p>
    <w:tbl>
      <w:tblPr>
        <w:tblStyle w:val="18"/>
        <w:tblW w:w="90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7"/>
        <w:gridCol w:w="5448"/>
        <w:gridCol w:w="2573"/>
      </w:tblGrid>
      <w:tr w14:paraId="649501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blHeader/>
          <w:jc w:val="center"/>
        </w:trPr>
        <w:tc>
          <w:tcPr>
            <w:tcW w:w="1057" w:type="dxa"/>
            <w:noWrap w:val="0"/>
            <w:vAlign w:val="center"/>
          </w:tcPr>
          <w:p w14:paraId="5939E553">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b/>
                <w:bCs/>
                <w:color w:val="auto"/>
                <w:kern w:val="0"/>
                <w:sz w:val="21"/>
                <w:szCs w:val="21"/>
                <w:lang w:val="en-US" w:eastAsia="zh-CN" w:bidi="ar-SA"/>
              </w:rPr>
            </w:pPr>
            <w:r>
              <w:rPr>
                <w:rFonts w:ascii="Times New Roman" w:hAnsi="宋体" w:eastAsia="宋体" w:cs="Times New Roman"/>
                <w:b/>
                <w:bCs/>
                <w:color w:val="auto"/>
                <w:kern w:val="0"/>
                <w:sz w:val="21"/>
                <w:szCs w:val="21"/>
                <w:lang w:val="en-US" w:eastAsia="zh-CN" w:bidi="ar-SA"/>
              </w:rPr>
              <w:t>类型</w:t>
            </w:r>
          </w:p>
        </w:tc>
        <w:tc>
          <w:tcPr>
            <w:tcW w:w="5448" w:type="dxa"/>
            <w:noWrap w:val="0"/>
            <w:vAlign w:val="center"/>
          </w:tcPr>
          <w:p w14:paraId="02343E51">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b/>
                <w:bCs/>
                <w:color w:val="auto"/>
                <w:kern w:val="0"/>
                <w:sz w:val="21"/>
                <w:szCs w:val="21"/>
                <w:lang w:val="en-US" w:eastAsia="zh-CN" w:bidi="ar-SA"/>
              </w:rPr>
            </w:pPr>
            <w:r>
              <w:rPr>
                <w:rFonts w:ascii="Times New Roman" w:hAnsi="宋体" w:eastAsia="宋体" w:cs="Times New Roman"/>
                <w:b/>
                <w:bCs/>
                <w:color w:val="auto"/>
                <w:kern w:val="0"/>
                <w:sz w:val="21"/>
                <w:szCs w:val="21"/>
                <w:lang w:val="en-US" w:eastAsia="zh-CN" w:bidi="ar-SA"/>
              </w:rPr>
              <w:t>概念</w:t>
            </w:r>
          </w:p>
        </w:tc>
        <w:tc>
          <w:tcPr>
            <w:tcW w:w="2573" w:type="dxa"/>
            <w:noWrap w:val="0"/>
            <w:vAlign w:val="center"/>
          </w:tcPr>
          <w:p w14:paraId="6FFB23FE">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b/>
                <w:bCs/>
                <w:color w:val="auto"/>
                <w:kern w:val="0"/>
                <w:sz w:val="21"/>
                <w:szCs w:val="21"/>
                <w:lang w:val="en-US" w:eastAsia="zh-CN" w:bidi="ar-SA"/>
              </w:rPr>
            </w:pPr>
            <w:r>
              <w:rPr>
                <w:rFonts w:ascii="Times New Roman" w:hAnsi="宋体" w:eastAsia="宋体" w:cs="Times New Roman"/>
                <w:b/>
                <w:bCs/>
                <w:color w:val="auto"/>
                <w:kern w:val="0"/>
                <w:sz w:val="21"/>
                <w:szCs w:val="21"/>
                <w:lang w:val="en-US" w:eastAsia="zh-CN" w:bidi="ar-SA"/>
              </w:rPr>
              <w:t>条件</w:t>
            </w:r>
          </w:p>
        </w:tc>
      </w:tr>
      <w:tr w14:paraId="153D09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blHeader/>
          <w:jc w:val="center"/>
        </w:trPr>
        <w:tc>
          <w:tcPr>
            <w:tcW w:w="1057" w:type="dxa"/>
            <w:noWrap w:val="0"/>
            <w:vAlign w:val="center"/>
          </w:tcPr>
          <w:p w14:paraId="7667C07E">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A类矿山</w:t>
            </w:r>
          </w:p>
        </w:tc>
        <w:tc>
          <w:tcPr>
            <w:tcW w:w="5448" w:type="dxa"/>
            <w:noWrap w:val="0"/>
            <w:vAlign w:val="center"/>
          </w:tcPr>
          <w:p w14:paraId="6985B905">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left"/>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安全生产条件好，生产活动有安全保障。</w:t>
            </w:r>
          </w:p>
        </w:tc>
        <w:tc>
          <w:tcPr>
            <w:tcW w:w="2573" w:type="dxa"/>
            <w:noWrap w:val="0"/>
            <w:vAlign w:val="center"/>
          </w:tcPr>
          <w:p w14:paraId="32CA1F7F">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得分率在90%以上</w:t>
            </w:r>
          </w:p>
        </w:tc>
      </w:tr>
      <w:tr w14:paraId="76DD3D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blHeader/>
          <w:jc w:val="center"/>
        </w:trPr>
        <w:tc>
          <w:tcPr>
            <w:tcW w:w="1057" w:type="dxa"/>
            <w:noWrap w:val="0"/>
            <w:vAlign w:val="center"/>
          </w:tcPr>
          <w:p w14:paraId="598F80CE">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B类矿山</w:t>
            </w:r>
          </w:p>
        </w:tc>
        <w:tc>
          <w:tcPr>
            <w:tcW w:w="5448" w:type="dxa"/>
            <w:noWrap w:val="0"/>
            <w:vAlign w:val="center"/>
          </w:tcPr>
          <w:p w14:paraId="1F5620B6">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left"/>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安全生产条件一般，能满足基本的安全生产活动。</w:t>
            </w:r>
          </w:p>
        </w:tc>
        <w:tc>
          <w:tcPr>
            <w:tcW w:w="2573" w:type="dxa"/>
            <w:noWrap w:val="0"/>
            <w:vAlign w:val="center"/>
          </w:tcPr>
          <w:p w14:paraId="67BAA035">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得分率在80%</w:t>
            </w:r>
            <w:r>
              <w:rPr>
                <w:rFonts w:hint="eastAsia" w:ascii="Times New Roman" w:hAnsi="宋体" w:eastAsia="宋体" w:cs="Times New Roman"/>
                <w:color w:val="auto"/>
                <w:kern w:val="0"/>
                <w:sz w:val="21"/>
                <w:szCs w:val="21"/>
                <w:lang w:val="en-US" w:eastAsia="zh-CN" w:bidi="ar-SA"/>
              </w:rPr>
              <w:t>～</w:t>
            </w:r>
            <w:r>
              <w:rPr>
                <w:rFonts w:ascii="Times New Roman" w:hAnsi="宋体" w:eastAsia="宋体" w:cs="Times New Roman"/>
                <w:color w:val="auto"/>
                <w:kern w:val="0"/>
                <w:sz w:val="21"/>
                <w:szCs w:val="21"/>
                <w:lang w:val="en-US" w:eastAsia="zh-CN" w:bidi="ar-SA"/>
              </w:rPr>
              <w:t>89%之间</w:t>
            </w:r>
          </w:p>
        </w:tc>
      </w:tr>
      <w:tr w14:paraId="1350FE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blHeader/>
          <w:jc w:val="center"/>
        </w:trPr>
        <w:tc>
          <w:tcPr>
            <w:tcW w:w="1057" w:type="dxa"/>
            <w:noWrap w:val="0"/>
            <w:vAlign w:val="center"/>
          </w:tcPr>
          <w:p w14:paraId="01C860FD">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C类矿山</w:t>
            </w:r>
          </w:p>
        </w:tc>
        <w:tc>
          <w:tcPr>
            <w:tcW w:w="5448" w:type="dxa"/>
            <w:noWrap w:val="0"/>
            <w:vAlign w:val="center"/>
          </w:tcPr>
          <w:p w14:paraId="50BE5226">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left"/>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安全生产条件差，不能完全保证安全生产活动，需要限期整改。</w:t>
            </w:r>
          </w:p>
        </w:tc>
        <w:tc>
          <w:tcPr>
            <w:tcW w:w="2573" w:type="dxa"/>
            <w:noWrap w:val="0"/>
            <w:vAlign w:val="center"/>
          </w:tcPr>
          <w:p w14:paraId="0963324C">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得分率在60%</w:t>
            </w:r>
            <w:r>
              <w:rPr>
                <w:rFonts w:hint="eastAsia" w:ascii="Times New Roman" w:hAnsi="宋体" w:eastAsia="宋体" w:cs="Times New Roman"/>
                <w:color w:val="auto"/>
                <w:kern w:val="0"/>
                <w:sz w:val="21"/>
                <w:szCs w:val="21"/>
                <w:lang w:val="en-US" w:eastAsia="zh-CN" w:bidi="ar-SA"/>
              </w:rPr>
              <w:t>～</w:t>
            </w:r>
            <w:r>
              <w:rPr>
                <w:rFonts w:ascii="Times New Roman" w:hAnsi="宋体" w:eastAsia="宋体" w:cs="Times New Roman"/>
                <w:color w:val="auto"/>
                <w:kern w:val="0"/>
                <w:sz w:val="21"/>
                <w:szCs w:val="21"/>
                <w:lang w:val="en-US" w:eastAsia="zh-CN" w:bidi="ar-SA"/>
              </w:rPr>
              <w:t>79%之间</w:t>
            </w:r>
          </w:p>
        </w:tc>
      </w:tr>
      <w:tr w14:paraId="57A3FC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tblHeader/>
          <w:jc w:val="center"/>
        </w:trPr>
        <w:tc>
          <w:tcPr>
            <w:tcW w:w="1057" w:type="dxa"/>
            <w:noWrap w:val="0"/>
            <w:vAlign w:val="center"/>
          </w:tcPr>
          <w:p w14:paraId="3BC13539">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D类矿山</w:t>
            </w:r>
          </w:p>
        </w:tc>
        <w:tc>
          <w:tcPr>
            <w:tcW w:w="5448" w:type="dxa"/>
            <w:noWrap w:val="0"/>
            <w:vAlign w:val="center"/>
          </w:tcPr>
          <w:p w14:paraId="654657AF">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left"/>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不具备基本的安全生产条件，或未通过验收，需要责令停产整顿的矿山。</w:t>
            </w:r>
          </w:p>
        </w:tc>
        <w:tc>
          <w:tcPr>
            <w:tcW w:w="2573" w:type="dxa"/>
            <w:noWrap w:val="0"/>
            <w:vAlign w:val="center"/>
          </w:tcPr>
          <w:p w14:paraId="4624650A">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得分率在60%以下</w:t>
            </w:r>
          </w:p>
        </w:tc>
      </w:tr>
      <w:tr w14:paraId="0221DD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7" w:hRule="atLeast"/>
          <w:tblHeader/>
          <w:jc w:val="center"/>
        </w:trPr>
        <w:tc>
          <w:tcPr>
            <w:tcW w:w="1057" w:type="dxa"/>
            <w:noWrap w:val="0"/>
            <w:vAlign w:val="center"/>
          </w:tcPr>
          <w:p w14:paraId="6F3C5ECE">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备注</w:t>
            </w:r>
          </w:p>
        </w:tc>
        <w:tc>
          <w:tcPr>
            <w:tcW w:w="5448" w:type="dxa"/>
            <w:noWrap w:val="0"/>
            <w:vAlign w:val="center"/>
          </w:tcPr>
          <w:p w14:paraId="633F26C9">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left"/>
              <w:textAlignment w:val="auto"/>
              <w:rPr>
                <w:rFonts w:hint="eastAsia"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1</w:t>
            </w:r>
            <w:r>
              <w:rPr>
                <w:rFonts w:hint="eastAsia" w:ascii="Times New Roman" w:hAnsi="宋体" w:eastAsia="宋体" w:cs="Times New Roman"/>
                <w:color w:val="auto"/>
                <w:kern w:val="0"/>
                <w:sz w:val="21"/>
                <w:szCs w:val="21"/>
                <w:lang w:val="en-US" w:eastAsia="zh-CN" w:bidi="ar-SA"/>
              </w:rPr>
              <w:t>.</w:t>
            </w:r>
            <w:r>
              <w:rPr>
                <w:rFonts w:ascii="Times New Roman" w:hAnsi="宋体" w:eastAsia="宋体" w:cs="Times New Roman"/>
                <w:color w:val="auto"/>
                <w:kern w:val="0"/>
                <w:sz w:val="21"/>
                <w:szCs w:val="21"/>
                <w:lang w:val="en-US" w:eastAsia="zh-CN" w:bidi="ar-SA"/>
              </w:rPr>
              <w:t>本评价标准中的《规程》是指《金属非金属矿山安全规程》</w:t>
            </w:r>
            <w:r>
              <w:rPr>
                <w:rFonts w:hint="eastAsia" w:hAnsi="宋体" w:cs="Times New Roman"/>
                <w:color w:val="auto"/>
                <w:kern w:val="0"/>
                <w:sz w:val="21"/>
                <w:szCs w:val="21"/>
                <w:lang w:val="en-US" w:eastAsia="zh-CN" w:bidi="ar-SA"/>
              </w:rPr>
              <w:t>（GB16423-2020）</w:t>
            </w:r>
            <w:r>
              <w:rPr>
                <w:rFonts w:ascii="Times New Roman" w:hAnsi="宋体" w:eastAsia="宋体" w:cs="Times New Roman"/>
                <w:color w:val="auto"/>
                <w:kern w:val="0"/>
                <w:sz w:val="21"/>
                <w:szCs w:val="21"/>
                <w:lang w:val="en-US" w:eastAsia="zh-CN" w:bidi="ar-SA"/>
              </w:rPr>
              <w:t>。</w:t>
            </w:r>
          </w:p>
          <w:p w14:paraId="559F45C5">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left"/>
              <w:textAlignment w:val="auto"/>
              <w:rPr>
                <w:rFonts w:hint="eastAsia"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2</w:t>
            </w:r>
            <w:r>
              <w:rPr>
                <w:rFonts w:hint="eastAsia" w:ascii="Times New Roman" w:hAnsi="宋体" w:eastAsia="宋体" w:cs="Times New Roman"/>
                <w:color w:val="auto"/>
                <w:kern w:val="0"/>
                <w:sz w:val="21"/>
                <w:szCs w:val="21"/>
                <w:lang w:val="en-US" w:eastAsia="zh-CN" w:bidi="ar-SA"/>
              </w:rPr>
              <w:t>.</w:t>
            </w:r>
            <w:r>
              <w:rPr>
                <w:rFonts w:ascii="Times New Roman" w:hAnsi="宋体" w:eastAsia="宋体" w:cs="Times New Roman"/>
                <w:color w:val="auto"/>
                <w:kern w:val="0"/>
                <w:sz w:val="21"/>
                <w:szCs w:val="21"/>
                <w:lang w:val="en-US" w:eastAsia="zh-CN" w:bidi="ar-SA"/>
              </w:rPr>
              <w:t>因矿种不同，生产中没有涉及的项目，可不予评估，总分为实际评价项目的分值总和。最后得分采用得分率，即：实际评价得分÷实际评价项目的分值总和×100%。</w:t>
            </w:r>
          </w:p>
          <w:p w14:paraId="70E64F82">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left"/>
              <w:textAlignment w:val="auto"/>
              <w:rPr>
                <w:rFonts w:hint="eastAsia"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3</w:t>
            </w:r>
            <w:r>
              <w:rPr>
                <w:rFonts w:hint="eastAsia" w:ascii="Times New Roman" w:hAnsi="宋体" w:eastAsia="宋体" w:cs="Times New Roman"/>
                <w:color w:val="auto"/>
                <w:kern w:val="0"/>
                <w:sz w:val="21"/>
                <w:szCs w:val="21"/>
                <w:lang w:val="en-US" w:eastAsia="zh-CN" w:bidi="ar-SA"/>
              </w:rPr>
              <w:t>.</w:t>
            </w:r>
            <w:r>
              <w:rPr>
                <w:rFonts w:ascii="Times New Roman" w:hAnsi="宋体" w:eastAsia="宋体" w:cs="Times New Roman"/>
                <w:color w:val="auto"/>
                <w:kern w:val="0"/>
                <w:sz w:val="21"/>
                <w:szCs w:val="21"/>
                <w:lang w:val="en-US" w:eastAsia="zh-CN" w:bidi="ar-SA"/>
              </w:rPr>
              <w:t>算出总得分率时，必须把各单元的得分率一起考虑。</w:t>
            </w:r>
          </w:p>
          <w:p w14:paraId="16A63CBA">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left"/>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4</w:t>
            </w:r>
            <w:r>
              <w:rPr>
                <w:rFonts w:hint="eastAsia" w:ascii="Times New Roman" w:hAnsi="宋体" w:eastAsia="宋体" w:cs="Times New Roman"/>
                <w:color w:val="auto"/>
                <w:kern w:val="0"/>
                <w:sz w:val="21"/>
                <w:szCs w:val="21"/>
                <w:lang w:val="en-US" w:eastAsia="zh-CN" w:bidi="ar-SA"/>
              </w:rPr>
              <w:t>.</w:t>
            </w:r>
            <w:r>
              <w:rPr>
                <w:rFonts w:ascii="Times New Roman" w:hAnsi="宋体" w:eastAsia="宋体" w:cs="Times New Roman"/>
                <w:color w:val="auto"/>
                <w:kern w:val="0"/>
                <w:sz w:val="21"/>
                <w:szCs w:val="21"/>
                <w:lang w:val="en-US" w:eastAsia="zh-CN" w:bidi="ar-SA"/>
              </w:rPr>
              <w:t>检查表扣分尺度，由各专家根据实际情况具体掌握。</w:t>
            </w:r>
          </w:p>
        </w:tc>
        <w:tc>
          <w:tcPr>
            <w:tcW w:w="2573" w:type="dxa"/>
            <w:noWrap w:val="0"/>
            <w:vAlign w:val="center"/>
          </w:tcPr>
          <w:p w14:paraId="601CA411">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该表总分值为：4</w:t>
            </w:r>
            <w:r>
              <w:rPr>
                <w:rFonts w:hint="eastAsia" w:hAnsi="宋体" w:cs="Times New Roman"/>
                <w:color w:val="auto"/>
                <w:kern w:val="0"/>
                <w:sz w:val="21"/>
                <w:szCs w:val="21"/>
                <w:lang w:val="en-US" w:eastAsia="zh-CN" w:bidi="ar-SA"/>
              </w:rPr>
              <w:t>48</w:t>
            </w:r>
            <w:r>
              <w:rPr>
                <w:rFonts w:ascii="Times New Roman" w:hAnsi="宋体" w:eastAsia="宋体" w:cs="Times New Roman"/>
                <w:color w:val="auto"/>
                <w:kern w:val="0"/>
                <w:sz w:val="21"/>
                <w:szCs w:val="21"/>
                <w:lang w:val="en-US" w:eastAsia="zh-CN" w:bidi="ar-SA"/>
              </w:rPr>
              <w:t>分</w:t>
            </w:r>
          </w:p>
        </w:tc>
      </w:tr>
    </w:tbl>
    <w:p w14:paraId="29026574">
      <w:pPr>
        <w:pStyle w:val="4"/>
        <w:bidi w:val="0"/>
        <w:rPr>
          <w:rFonts w:hint="default"/>
          <w:color w:val="auto"/>
          <w:lang w:val="en-US" w:eastAsia="zh-CN"/>
        </w:rPr>
      </w:pPr>
      <w:bookmarkStart w:id="333" w:name="_Toc8226"/>
      <w:bookmarkStart w:id="334" w:name="_Toc27994"/>
      <w:bookmarkStart w:id="335" w:name="_Toc4839"/>
      <w:r>
        <w:rPr>
          <w:rFonts w:hint="eastAsia"/>
          <w:color w:val="auto"/>
          <w:lang w:val="en-US" w:eastAsia="zh-CN"/>
        </w:rPr>
        <w:t>5.8.2 评价结论</w:t>
      </w:r>
      <w:bookmarkEnd w:id="333"/>
      <w:bookmarkEnd w:id="334"/>
      <w:bookmarkEnd w:id="335"/>
    </w:p>
    <w:p w14:paraId="11FFDDBE">
      <w:pPr>
        <w:rPr>
          <w:rFonts w:hint="default"/>
          <w:color w:val="auto"/>
          <w:lang w:val="en-US" w:eastAsia="zh-CN"/>
        </w:rPr>
      </w:pPr>
      <w:r>
        <w:rPr>
          <w:rFonts w:hint="default"/>
          <w:color w:val="auto"/>
          <w:lang w:val="en-US" w:eastAsia="zh-CN"/>
        </w:rPr>
        <w:t>通过安全检查表符合性评价可</w:t>
      </w:r>
      <w:r>
        <w:rPr>
          <w:rFonts w:hint="eastAsia"/>
          <w:color w:val="auto"/>
          <w:lang w:val="en-US" w:eastAsia="zh-CN"/>
        </w:rPr>
        <w:t>知：</w:t>
      </w:r>
    </w:p>
    <w:p w14:paraId="30C47F32">
      <w:pPr>
        <w:rPr>
          <w:rFonts w:hint="default"/>
          <w:color w:val="auto"/>
          <w:lang w:val="en-US" w:eastAsia="zh-CN"/>
        </w:rPr>
      </w:pPr>
      <w:r>
        <w:rPr>
          <w:rFonts w:hint="default"/>
          <w:color w:val="auto"/>
          <w:lang w:val="en-US" w:eastAsia="zh-CN"/>
        </w:rPr>
        <w:t>1</w:t>
      </w:r>
      <w:r>
        <w:rPr>
          <w:rFonts w:hint="eastAsia"/>
          <w:color w:val="auto"/>
          <w:lang w:val="en-US" w:eastAsia="zh-CN"/>
        </w:rPr>
        <w:t xml:space="preserve">. </w:t>
      </w:r>
      <w:r>
        <w:rPr>
          <w:rFonts w:hint="default"/>
          <w:color w:val="auto"/>
          <w:lang w:val="en-US" w:eastAsia="zh-CN"/>
        </w:rPr>
        <w:t>本评价项目否决项的检查结论均为合格</w:t>
      </w:r>
      <w:r>
        <w:rPr>
          <w:rFonts w:hint="eastAsia"/>
          <w:color w:val="auto"/>
          <w:lang w:val="en-US" w:eastAsia="zh-CN"/>
        </w:rPr>
        <w:t>；</w:t>
      </w:r>
    </w:p>
    <w:p w14:paraId="72F07CD4">
      <w:pPr>
        <w:rPr>
          <w:rFonts w:hint="default"/>
          <w:color w:val="auto"/>
          <w:lang w:val="en-US" w:eastAsia="zh-CN"/>
        </w:rPr>
      </w:pPr>
      <w:r>
        <w:rPr>
          <w:rFonts w:hint="default"/>
          <w:color w:val="auto"/>
          <w:lang w:val="en-US" w:eastAsia="zh-CN"/>
        </w:rPr>
        <w:t>2</w:t>
      </w:r>
      <w:r>
        <w:rPr>
          <w:rFonts w:hint="eastAsia"/>
          <w:color w:val="auto"/>
          <w:lang w:val="en-US" w:eastAsia="zh-CN"/>
        </w:rPr>
        <w:t xml:space="preserve">. </w:t>
      </w:r>
      <w:r>
        <w:rPr>
          <w:rFonts w:hint="default"/>
          <w:color w:val="auto"/>
          <w:lang w:val="en-US" w:eastAsia="zh-CN"/>
        </w:rPr>
        <w:t>通过安全检查表符合性评价，安全检查表标准总分为4</w:t>
      </w:r>
      <w:r>
        <w:rPr>
          <w:rFonts w:hint="eastAsia"/>
          <w:color w:val="auto"/>
          <w:lang w:val="en-US" w:eastAsia="zh-CN"/>
        </w:rPr>
        <w:t>48</w:t>
      </w:r>
      <w:r>
        <w:rPr>
          <w:rFonts w:hint="default"/>
          <w:color w:val="auto"/>
          <w:lang w:val="en-US" w:eastAsia="zh-CN"/>
        </w:rPr>
        <w:t>分，该露天矿山评价得分为</w:t>
      </w:r>
      <w:r>
        <w:rPr>
          <w:rFonts w:hint="eastAsia"/>
          <w:color w:val="auto"/>
          <w:lang w:val="en-US" w:eastAsia="zh-CN"/>
        </w:rPr>
        <w:t>412</w:t>
      </w:r>
      <w:r>
        <w:rPr>
          <w:rFonts w:hint="default"/>
          <w:color w:val="auto"/>
          <w:lang w:val="en-US" w:eastAsia="zh-CN"/>
        </w:rPr>
        <w:t>分，得分率</w:t>
      </w:r>
      <w:r>
        <w:rPr>
          <w:rFonts w:hint="eastAsia"/>
          <w:color w:val="auto"/>
          <w:lang w:val="en-US" w:eastAsia="zh-CN"/>
        </w:rPr>
        <w:t>91.96</w:t>
      </w:r>
      <w:r>
        <w:rPr>
          <w:rFonts w:hint="default"/>
          <w:color w:val="auto"/>
          <w:lang w:val="en-US" w:eastAsia="zh-CN"/>
        </w:rPr>
        <w:t>%，该矿山属A类矿山，安全生产条件好，生产活动有安全保障。</w:t>
      </w:r>
    </w:p>
    <w:p w14:paraId="72371C7E">
      <w:pPr>
        <w:pStyle w:val="3"/>
        <w:bidi w:val="0"/>
        <w:rPr>
          <w:rFonts w:hint="default"/>
          <w:color w:val="auto"/>
          <w:lang w:val="en-US" w:eastAsia="zh-CN"/>
        </w:rPr>
      </w:pPr>
      <w:bookmarkStart w:id="336" w:name="_Toc7004"/>
      <w:bookmarkStart w:id="337" w:name="_Toc10520"/>
      <w:bookmarkStart w:id="338" w:name="_Toc8712"/>
      <w:r>
        <w:rPr>
          <w:rFonts w:hint="eastAsia"/>
          <w:color w:val="auto"/>
          <w:lang w:val="en-US" w:eastAsia="zh-CN"/>
        </w:rPr>
        <w:t xml:space="preserve">5.9 </w:t>
      </w:r>
      <w:r>
        <w:rPr>
          <w:rFonts w:hint="default"/>
          <w:color w:val="auto"/>
          <w:lang w:val="en-US" w:eastAsia="zh-CN"/>
        </w:rPr>
        <w:t>作业条件危险性分析</w:t>
      </w:r>
      <w:bookmarkEnd w:id="336"/>
      <w:bookmarkEnd w:id="337"/>
      <w:bookmarkEnd w:id="338"/>
    </w:p>
    <w:p w14:paraId="0566CD01">
      <w:pPr>
        <w:rPr>
          <w:rFonts w:hint="default"/>
          <w:color w:val="auto"/>
          <w:lang w:val="en-US" w:eastAsia="zh-CN"/>
        </w:rPr>
      </w:pPr>
      <w:r>
        <w:rPr>
          <w:rFonts w:hint="default"/>
          <w:color w:val="auto"/>
          <w:lang w:val="en-US" w:eastAsia="zh-CN"/>
        </w:rPr>
        <w:t>采用作业条件危险性分析对露天矿山采场穿孔作业、爆破作业、铲装运输作业、电气作业、洒水防尘</w:t>
      </w:r>
      <w:r>
        <w:rPr>
          <w:rFonts w:hint="eastAsia"/>
          <w:color w:val="auto"/>
          <w:lang w:val="en-US" w:eastAsia="zh-CN"/>
        </w:rPr>
        <w:t>作业</w:t>
      </w:r>
      <w:r>
        <w:rPr>
          <w:rFonts w:hint="default"/>
          <w:color w:val="auto"/>
          <w:lang w:val="en-US" w:eastAsia="zh-CN"/>
        </w:rPr>
        <w:t>等进行事故发生可能性及其严重程度分析评价。</w:t>
      </w:r>
    </w:p>
    <w:p w14:paraId="2A7C5EE8">
      <w:pPr>
        <w:rPr>
          <w:rFonts w:hint="default"/>
          <w:color w:val="auto"/>
          <w:lang w:val="en-US" w:eastAsia="zh-CN"/>
        </w:rPr>
      </w:pPr>
      <w:r>
        <w:rPr>
          <w:rFonts w:hint="default"/>
          <w:color w:val="auto"/>
          <w:lang w:val="en-US" w:eastAsia="zh-CN"/>
        </w:rPr>
        <w:t>露天矿山采场穿孔作业、爆破作业、铲装运输作业、电气作业、洒水防尘等</w:t>
      </w:r>
      <w:r>
        <w:rPr>
          <w:rFonts w:hint="eastAsia"/>
          <w:color w:val="auto"/>
          <w:lang w:val="en-US" w:eastAsia="zh-CN"/>
        </w:rPr>
        <w:t>作业</w:t>
      </w:r>
      <w:r>
        <w:rPr>
          <w:rFonts w:hint="default"/>
          <w:color w:val="auto"/>
          <w:lang w:val="en-US" w:eastAsia="zh-CN"/>
        </w:rPr>
        <w:t>是矿山企业的主要生产作业区和重要工序，作业条件不断变化，作业危险性相对大，采用作业条件危险性评价方法，对以上作业工艺存在的危险、有害因素导致事故发生的可能性和严重程度进行评价，并确定各作业工艺安全生产承受水平以及采取措施后，是否能达到安全生产的要求。</w:t>
      </w:r>
    </w:p>
    <w:p w14:paraId="2EE18F3B">
      <w:pPr>
        <w:rPr>
          <w:rFonts w:hint="default"/>
          <w:color w:val="auto"/>
          <w:lang w:val="en-US" w:eastAsia="zh-CN"/>
        </w:rPr>
      </w:pPr>
      <w:r>
        <w:rPr>
          <w:rFonts w:hint="default"/>
          <w:color w:val="auto"/>
          <w:lang w:val="en-US" w:eastAsia="zh-CN"/>
        </w:rPr>
        <w:t>露天开采作业条件危险性评价综合结果如表5</w:t>
      </w:r>
      <w:r>
        <w:rPr>
          <w:rFonts w:hint="eastAsia"/>
          <w:color w:val="auto"/>
          <w:lang w:val="en-US" w:eastAsia="zh-CN"/>
        </w:rPr>
        <w:t>.9</w:t>
      </w:r>
      <w:r>
        <w:rPr>
          <w:rFonts w:hint="default"/>
          <w:color w:val="auto"/>
          <w:lang w:val="en-US" w:eastAsia="zh-CN"/>
        </w:rPr>
        <w:t>-</w:t>
      </w:r>
      <w:r>
        <w:rPr>
          <w:rFonts w:hint="eastAsia"/>
          <w:color w:val="auto"/>
          <w:lang w:val="en-US" w:eastAsia="zh-CN"/>
        </w:rPr>
        <w:t>1</w:t>
      </w:r>
      <w:r>
        <w:rPr>
          <w:rFonts w:hint="default"/>
          <w:color w:val="auto"/>
          <w:lang w:val="en-US" w:eastAsia="zh-CN"/>
        </w:rPr>
        <w:t>所示。</w:t>
      </w:r>
    </w:p>
    <w:p w14:paraId="59A1549C">
      <w:pPr>
        <w:ind w:left="0" w:leftChars="0" w:firstLine="0" w:firstLineChars="0"/>
        <w:jc w:val="center"/>
        <w:rPr>
          <w:rFonts w:hint="eastAsia"/>
          <w:color w:val="auto"/>
          <w:lang w:val="en-US" w:eastAsia="zh-CN"/>
        </w:rPr>
      </w:pPr>
      <w:r>
        <w:rPr>
          <w:rFonts w:hint="default"/>
          <w:color w:val="auto"/>
          <w:lang w:val="en-US" w:eastAsia="zh-CN"/>
        </w:rPr>
        <w:t>表5</w:t>
      </w:r>
      <w:r>
        <w:rPr>
          <w:rFonts w:hint="eastAsia"/>
          <w:color w:val="auto"/>
          <w:lang w:val="en-US" w:eastAsia="zh-CN"/>
        </w:rPr>
        <w:t>.9</w:t>
      </w:r>
      <w:r>
        <w:rPr>
          <w:rFonts w:hint="default"/>
          <w:color w:val="auto"/>
          <w:lang w:val="en-US" w:eastAsia="zh-CN"/>
        </w:rPr>
        <w:t>-</w:t>
      </w:r>
      <w:r>
        <w:rPr>
          <w:rFonts w:hint="eastAsia"/>
          <w:color w:val="auto"/>
          <w:lang w:val="en-US" w:eastAsia="zh-CN"/>
        </w:rPr>
        <w:t>1 露天开采作业条件危险性评价</w:t>
      </w:r>
    </w:p>
    <w:tbl>
      <w:tblPr>
        <w:tblStyle w:val="18"/>
        <w:tblW w:w="0" w:type="auto"/>
        <w:tblInd w:w="240" w:type="dxa"/>
        <w:tblLayout w:type="fixed"/>
        <w:tblCellMar>
          <w:top w:w="0" w:type="dxa"/>
          <w:left w:w="108" w:type="dxa"/>
          <w:bottom w:w="0" w:type="dxa"/>
          <w:right w:w="108" w:type="dxa"/>
        </w:tblCellMar>
      </w:tblPr>
      <w:tblGrid>
        <w:gridCol w:w="1188"/>
        <w:gridCol w:w="2472"/>
        <w:gridCol w:w="861"/>
        <w:gridCol w:w="1039"/>
        <w:gridCol w:w="975"/>
        <w:gridCol w:w="932"/>
        <w:gridCol w:w="1249"/>
      </w:tblGrid>
      <w:tr w14:paraId="6C9B2371">
        <w:tblPrEx>
          <w:tblCellMar>
            <w:top w:w="0" w:type="dxa"/>
            <w:left w:w="108" w:type="dxa"/>
            <w:bottom w:w="0" w:type="dxa"/>
            <w:right w:w="108" w:type="dxa"/>
          </w:tblCellMar>
        </w:tblPrEx>
        <w:trPr>
          <w:trHeight w:val="438" w:hRule="exact"/>
        </w:trPr>
        <w:tc>
          <w:tcPr>
            <w:tcW w:w="1188" w:type="dxa"/>
            <w:tcBorders>
              <w:top w:val="single" w:color="auto" w:sz="4" w:space="0"/>
              <w:left w:val="single" w:color="auto" w:sz="4" w:space="0"/>
              <w:bottom w:val="single" w:color="auto" w:sz="4" w:space="0"/>
              <w:right w:val="single" w:color="auto" w:sz="4" w:space="0"/>
            </w:tcBorders>
            <w:noWrap w:val="0"/>
            <w:vAlign w:val="center"/>
          </w:tcPr>
          <w:p w14:paraId="46CBF9F1">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b/>
                <w:bCs/>
                <w:color w:val="auto"/>
                <w:kern w:val="0"/>
                <w:sz w:val="21"/>
                <w:szCs w:val="21"/>
                <w:lang w:val="en-US" w:eastAsia="zh-CN" w:bidi="ar-SA"/>
              </w:rPr>
            </w:pPr>
            <w:r>
              <w:rPr>
                <w:rFonts w:hint="eastAsia" w:ascii="Times New Roman" w:hAnsi="宋体" w:eastAsia="宋体" w:cs="Times New Roman"/>
                <w:b/>
                <w:bCs/>
                <w:color w:val="auto"/>
                <w:kern w:val="0"/>
                <w:sz w:val="21"/>
                <w:szCs w:val="21"/>
                <w:lang w:val="en-US" w:eastAsia="zh-CN" w:bidi="ar-SA"/>
              </w:rPr>
              <w:t>作业单元</w:t>
            </w:r>
          </w:p>
        </w:tc>
        <w:tc>
          <w:tcPr>
            <w:tcW w:w="2472" w:type="dxa"/>
            <w:tcBorders>
              <w:top w:val="single" w:color="auto" w:sz="4" w:space="0"/>
              <w:left w:val="single" w:color="auto" w:sz="4" w:space="0"/>
              <w:bottom w:val="single" w:color="auto" w:sz="4" w:space="0"/>
              <w:right w:val="single" w:color="auto" w:sz="4" w:space="0"/>
            </w:tcBorders>
            <w:noWrap w:val="0"/>
            <w:vAlign w:val="center"/>
          </w:tcPr>
          <w:p w14:paraId="44ED3AF7">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b/>
                <w:bCs/>
                <w:color w:val="auto"/>
                <w:kern w:val="0"/>
                <w:sz w:val="21"/>
                <w:szCs w:val="21"/>
                <w:lang w:val="en-US" w:eastAsia="zh-CN" w:bidi="ar-SA"/>
              </w:rPr>
            </w:pPr>
            <w:r>
              <w:rPr>
                <w:rFonts w:hint="eastAsia" w:ascii="Times New Roman" w:hAnsi="宋体" w:eastAsia="宋体" w:cs="Times New Roman"/>
                <w:b/>
                <w:bCs/>
                <w:color w:val="auto"/>
                <w:kern w:val="0"/>
                <w:sz w:val="21"/>
                <w:szCs w:val="21"/>
                <w:lang w:val="en-US" w:eastAsia="zh-CN" w:bidi="ar-SA"/>
              </w:rPr>
              <w:t>主要危险有害因素</w:t>
            </w:r>
          </w:p>
        </w:tc>
        <w:tc>
          <w:tcPr>
            <w:tcW w:w="861" w:type="dxa"/>
            <w:tcBorders>
              <w:top w:val="single" w:color="auto" w:sz="4" w:space="0"/>
              <w:left w:val="single" w:color="auto" w:sz="4" w:space="0"/>
              <w:bottom w:val="single" w:color="auto" w:sz="4" w:space="0"/>
              <w:right w:val="single" w:color="auto" w:sz="4" w:space="0"/>
            </w:tcBorders>
            <w:noWrap w:val="0"/>
            <w:vAlign w:val="center"/>
          </w:tcPr>
          <w:p w14:paraId="6E1A3662">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b/>
                <w:bCs/>
                <w:color w:val="auto"/>
                <w:kern w:val="0"/>
                <w:sz w:val="21"/>
                <w:szCs w:val="21"/>
                <w:lang w:val="en-US" w:eastAsia="zh-CN" w:bidi="ar-SA"/>
              </w:rPr>
            </w:pPr>
            <w:r>
              <w:rPr>
                <w:rFonts w:hint="eastAsia" w:ascii="Times New Roman" w:hAnsi="宋体" w:eastAsia="宋体" w:cs="Times New Roman"/>
                <w:b/>
                <w:bCs/>
                <w:color w:val="auto"/>
                <w:kern w:val="0"/>
                <w:sz w:val="21"/>
                <w:szCs w:val="21"/>
                <w:lang w:val="en-US" w:eastAsia="zh-CN" w:bidi="ar-SA"/>
              </w:rPr>
              <w:t>L</w:t>
            </w:r>
          </w:p>
        </w:tc>
        <w:tc>
          <w:tcPr>
            <w:tcW w:w="1039" w:type="dxa"/>
            <w:tcBorders>
              <w:top w:val="single" w:color="auto" w:sz="4" w:space="0"/>
              <w:left w:val="single" w:color="auto" w:sz="4" w:space="0"/>
              <w:bottom w:val="single" w:color="auto" w:sz="4" w:space="0"/>
              <w:right w:val="single" w:color="auto" w:sz="4" w:space="0"/>
            </w:tcBorders>
            <w:noWrap w:val="0"/>
            <w:vAlign w:val="center"/>
          </w:tcPr>
          <w:p w14:paraId="0F358955">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b/>
                <w:bCs/>
                <w:color w:val="auto"/>
                <w:kern w:val="0"/>
                <w:sz w:val="21"/>
                <w:szCs w:val="21"/>
                <w:lang w:val="en-US" w:eastAsia="zh-CN" w:bidi="ar-SA"/>
              </w:rPr>
            </w:pPr>
            <w:r>
              <w:rPr>
                <w:rFonts w:hint="eastAsia" w:ascii="Times New Roman" w:hAnsi="宋体" w:eastAsia="宋体" w:cs="Times New Roman"/>
                <w:b/>
                <w:bCs/>
                <w:color w:val="auto"/>
                <w:kern w:val="0"/>
                <w:sz w:val="21"/>
                <w:szCs w:val="21"/>
                <w:lang w:val="en-US" w:eastAsia="zh-CN" w:bidi="ar-SA"/>
              </w:rPr>
              <w:t>E</w:t>
            </w:r>
          </w:p>
        </w:tc>
        <w:tc>
          <w:tcPr>
            <w:tcW w:w="975" w:type="dxa"/>
            <w:tcBorders>
              <w:top w:val="single" w:color="auto" w:sz="4" w:space="0"/>
              <w:left w:val="single" w:color="auto" w:sz="4" w:space="0"/>
              <w:bottom w:val="single" w:color="auto" w:sz="4" w:space="0"/>
              <w:right w:val="single" w:color="auto" w:sz="4" w:space="0"/>
            </w:tcBorders>
            <w:noWrap w:val="0"/>
            <w:vAlign w:val="center"/>
          </w:tcPr>
          <w:p w14:paraId="242AFFF1">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b/>
                <w:bCs/>
                <w:color w:val="auto"/>
                <w:kern w:val="0"/>
                <w:sz w:val="21"/>
                <w:szCs w:val="21"/>
                <w:lang w:val="en-US" w:eastAsia="zh-CN" w:bidi="ar-SA"/>
              </w:rPr>
            </w:pPr>
            <w:r>
              <w:rPr>
                <w:rFonts w:hint="eastAsia" w:ascii="Times New Roman" w:hAnsi="宋体" w:eastAsia="宋体" w:cs="Times New Roman"/>
                <w:b/>
                <w:bCs/>
                <w:color w:val="auto"/>
                <w:kern w:val="0"/>
                <w:sz w:val="21"/>
                <w:szCs w:val="21"/>
                <w:lang w:val="en-US" w:eastAsia="zh-CN" w:bidi="ar-SA"/>
              </w:rPr>
              <w:t>C</w:t>
            </w:r>
          </w:p>
        </w:tc>
        <w:tc>
          <w:tcPr>
            <w:tcW w:w="932" w:type="dxa"/>
            <w:tcBorders>
              <w:top w:val="single" w:color="auto" w:sz="4" w:space="0"/>
              <w:left w:val="single" w:color="auto" w:sz="4" w:space="0"/>
              <w:bottom w:val="single" w:color="auto" w:sz="4" w:space="0"/>
              <w:right w:val="single" w:color="auto" w:sz="4" w:space="0"/>
            </w:tcBorders>
            <w:noWrap w:val="0"/>
            <w:vAlign w:val="center"/>
          </w:tcPr>
          <w:p w14:paraId="557B9C19">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b/>
                <w:bCs/>
                <w:color w:val="auto"/>
                <w:kern w:val="0"/>
                <w:sz w:val="21"/>
                <w:szCs w:val="21"/>
                <w:lang w:val="en-US" w:eastAsia="zh-CN" w:bidi="ar-SA"/>
              </w:rPr>
            </w:pPr>
            <w:r>
              <w:rPr>
                <w:rFonts w:hint="eastAsia" w:ascii="Times New Roman" w:hAnsi="宋体" w:eastAsia="宋体" w:cs="Times New Roman"/>
                <w:b/>
                <w:bCs/>
                <w:color w:val="auto"/>
                <w:kern w:val="0"/>
                <w:sz w:val="21"/>
                <w:szCs w:val="21"/>
                <w:lang w:val="en-US" w:eastAsia="zh-CN" w:bidi="ar-SA"/>
              </w:rPr>
              <w:t>D</w:t>
            </w:r>
          </w:p>
        </w:tc>
        <w:tc>
          <w:tcPr>
            <w:tcW w:w="1249" w:type="dxa"/>
            <w:tcBorders>
              <w:top w:val="single" w:color="auto" w:sz="4" w:space="0"/>
              <w:left w:val="single" w:color="auto" w:sz="4" w:space="0"/>
              <w:bottom w:val="single" w:color="auto" w:sz="4" w:space="0"/>
              <w:right w:val="single" w:color="auto" w:sz="4" w:space="0"/>
            </w:tcBorders>
            <w:noWrap w:val="0"/>
            <w:vAlign w:val="center"/>
          </w:tcPr>
          <w:p w14:paraId="0574A865">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b/>
                <w:bCs/>
                <w:color w:val="auto"/>
                <w:kern w:val="0"/>
                <w:sz w:val="21"/>
                <w:szCs w:val="21"/>
                <w:lang w:val="en-US" w:eastAsia="zh-CN" w:bidi="ar-SA"/>
              </w:rPr>
            </w:pPr>
            <w:r>
              <w:rPr>
                <w:rFonts w:hint="eastAsia" w:ascii="Times New Roman" w:hAnsi="宋体" w:eastAsia="宋体" w:cs="Times New Roman"/>
                <w:b/>
                <w:bCs/>
                <w:color w:val="auto"/>
                <w:kern w:val="0"/>
                <w:sz w:val="21"/>
                <w:szCs w:val="21"/>
                <w:lang w:val="en-US" w:eastAsia="zh-CN" w:bidi="ar-SA"/>
              </w:rPr>
              <w:t>危险程度</w:t>
            </w:r>
          </w:p>
        </w:tc>
      </w:tr>
      <w:tr w14:paraId="244CD17D">
        <w:tblPrEx>
          <w:tblCellMar>
            <w:top w:w="0" w:type="dxa"/>
            <w:left w:w="108" w:type="dxa"/>
            <w:bottom w:w="0" w:type="dxa"/>
            <w:right w:w="108" w:type="dxa"/>
          </w:tblCellMar>
        </w:tblPrEx>
        <w:trPr>
          <w:trHeight w:val="340" w:hRule="exact"/>
        </w:trPr>
        <w:tc>
          <w:tcPr>
            <w:tcW w:w="1188" w:type="dxa"/>
            <w:vMerge w:val="restart"/>
            <w:tcBorders>
              <w:top w:val="single" w:color="auto" w:sz="4" w:space="0"/>
              <w:left w:val="single" w:color="auto" w:sz="4" w:space="0"/>
              <w:bottom w:val="single" w:color="auto" w:sz="4" w:space="0"/>
              <w:right w:val="single" w:color="auto" w:sz="4" w:space="0"/>
            </w:tcBorders>
            <w:noWrap w:val="0"/>
            <w:vAlign w:val="center"/>
          </w:tcPr>
          <w:p w14:paraId="2911BC48">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穿孔作业</w:t>
            </w:r>
          </w:p>
        </w:tc>
        <w:tc>
          <w:tcPr>
            <w:tcW w:w="2472" w:type="dxa"/>
            <w:tcBorders>
              <w:top w:val="single" w:color="auto" w:sz="4" w:space="0"/>
              <w:left w:val="single" w:color="auto" w:sz="4" w:space="0"/>
              <w:bottom w:val="single" w:color="auto" w:sz="4" w:space="0"/>
              <w:right w:val="single" w:color="auto" w:sz="4" w:space="0"/>
            </w:tcBorders>
            <w:noWrap w:val="0"/>
            <w:vAlign w:val="center"/>
          </w:tcPr>
          <w:p w14:paraId="191FA206">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高处坠落</w:t>
            </w:r>
          </w:p>
        </w:tc>
        <w:tc>
          <w:tcPr>
            <w:tcW w:w="861" w:type="dxa"/>
            <w:tcBorders>
              <w:top w:val="single" w:color="auto" w:sz="4" w:space="0"/>
              <w:left w:val="single" w:color="auto" w:sz="4" w:space="0"/>
              <w:bottom w:val="single" w:color="auto" w:sz="4" w:space="0"/>
              <w:right w:val="single" w:color="auto" w:sz="4" w:space="0"/>
            </w:tcBorders>
            <w:noWrap w:val="0"/>
            <w:vAlign w:val="center"/>
          </w:tcPr>
          <w:p w14:paraId="48C5DC4B">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3</w:t>
            </w:r>
          </w:p>
        </w:tc>
        <w:tc>
          <w:tcPr>
            <w:tcW w:w="1039" w:type="dxa"/>
            <w:tcBorders>
              <w:top w:val="single" w:color="auto" w:sz="4" w:space="0"/>
              <w:left w:val="single" w:color="auto" w:sz="4" w:space="0"/>
              <w:bottom w:val="single" w:color="auto" w:sz="4" w:space="0"/>
              <w:right w:val="single" w:color="auto" w:sz="4" w:space="0"/>
            </w:tcBorders>
            <w:noWrap w:val="0"/>
            <w:vAlign w:val="center"/>
          </w:tcPr>
          <w:p w14:paraId="32D107C3">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2</w:t>
            </w:r>
          </w:p>
        </w:tc>
        <w:tc>
          <w:tcPr>
            <w:tcW w:w="975" w:type="dxa"/>
            <w:tcBorders>
              <w:top w:val="single" w:color="auto" w:sz="4" w:space="0"/>
              <w:left w:val="single" w:color="auto" w:sz="4" w:space="0"/>
              <w:bottom w:val="single" w:color="auto" w:sz="4" w:space="0"/>
              <w:right w:val="single" w:color="auto" w:sz="4" w:space="0"/>
            </w:tcBorders>
            <w:noWrap w:val="0"/>
            <w:vAlign w:val="center"/>
          </w:tcPr>
          <w:p w14:paraId="5ABF36CF">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15</w:t>
            </w:r>
          </w:p>
        </w:tc>
        <w:tc>
          <w:tcPr>
            <w:tcW w:w="932" w:type="dxa"/>
            <w:tcBorders>
              <w:top w:val="single" w:color="auto" w:sz="4" w:space="0"/>
              <w:left w:val="single" w:color="auto" w:sz="4" w:space="0"/>
              <w:bottom w:val="single" w:color="auto" w:sz="4" w:space="0"/>
              <w:right w:val="single" w:color="auto" w:sz="4" w:space="0"/>
            </w:tcBorders>
            <w:noWrap w:val="0"/>
            <w:vAlign w:val="center"/>
          </w:tcPr>
          <w:p w14:paraId="1A4EE3D4">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90</w:t>
            </w:r>
          </w:p>
        </w:tc>
        <w:tc>
          <w:tcPr>
            <w:tcW w:w="1249" w:type="dxa"/>
            <w:tcBorders>
              <w:top w:val="single" w:color="auto" w:sz="4" w:space="0"/>
              <w:left w:val="single" w:color="auto" w:sz="4" w:space="0"/>
              <w:bottom w:val="single" w:color="auto" w:sz="4" w:space="0"/>
              <w:right w:val="single" w:color="auto" w:sz="4" w:space="0"/>
            </w:tcBorders>
            <w:noWrap w:val="0"/>
            <w:vAlign w:val="center"/>
          </w:tcPr>
          <w:p w14:paraId="03E7B1F8">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显著危险</w:t>
            </w:r>
          </w:p>
        </w:tc>
      </w:tr>
      <w:tr w14:paraId="76C09D09">
        <w:tblPrEx>
          <w:tblCellMar>
            <w:top w:w="0" w:type="dxa"/>
            <w:left w:w="108" w:type="dxa"/>
            <w:bottom w:w="0" w:type="dxa"/>
            <w:right w:w="108" w:type="dxa"/>
          </w:tblCellMar>
        </w:tblPrEx>
        <w:trPr>
          <w:trHeight w:val="340" w:hRule="exact"/>
        </w:trPr>
        <w:tc>
          <w:tcPr>
            <w:tcW w:w="1188" w:type="dxa"/>
            <w:vMerge w:val="continue"/>
            <w:tcBorders>
              <w:top w:val="single" w:color="auto" w:sz="4" w:space="0"/>
              <w:left w:val="single" w:color="auto" w:sz="4" w:space="0"/>
              <w:bottom w:val="single" w:color="auto" w:sz="4" w:space="0"/>
              <w:right w:val="single" w:color="auto" w:sz="4" w:space="0"/>
            </w:tcBorders>
            <w:noWrap w:val="0"/>
            <w:vAlign w:val="center"/>
          </w:tcPr>
          <w:p w14:paraId="20B5E09D">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p>
        </w:tc>
        <w:tc>
          <w:tcPr>
            <w:tcW w:w="2472" w:type="dxa"/>
            <w:tcBorders>
              <w:top w:val="single" w:color="auto" w:sz="4" w:space="0"/>
              <w:left w:val="single" w:color="auto" w:sz="4" w:space="0"/>
              <w:bottom w:val="single" w:color="auto" w:sz="4" w:space="0"/>
              <w:right w:val="single" w:color="auto" w:sz="4" w:space="0"/>
            </w:tcBorders>
            <w:noWrap w:val="0"/>
            <w:vAlign w:val="center"/>
          </w:tcPr>
          <w:p w14:paraId="60F382D3">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机械伤害</w:t>
            </w:r>
          </w:p>
        </w:tc>
        <w:tc>
          <w:tcPr>
            <w:tcW w:w="861" w:type="dxa"/>
            <w:tcBorders>
              <w:top w:val="single" w:color="auto" w:sz="4" w:space="0"/>
              <w:left w:val="single" w:color="auto" w:sz="4" w:space="0"/>
              <w:bottom w:val="single" w:color="auto" w:sz="4" w:space="0"/>
              <w:right w:val="single" w:color="auto" w:sz="4" w:space="0"/>
            </w:tcBorders>
            <w:noWrap w:val="0"/>
            <w:vAlign w:val="center"/>
          </w:tcPr>
          <w:p w14:paraId="5EEC84E8">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1</w:t>
            </w:r>
          </w:p>
        </w:tc>
        <w:tc>
          <w:tcPr>
            <w:tcW w:w="1039" w:type="dxa"/>
            <w:tcBorders>
              <w:top w:val="single" w:color="auto" w:sz="4" w:space="0"/>
              <w:left w:val="single" w:color="auto" w:sz="4" w:space="0"/>
              <w:bottom w:val="single" w:color="auto" w:sz="4" w:space="0"/>
              <w:right w:val="single" w:color="auto" w:sz="4" w:space="0"/>
            </w:tcBorders>
            <w:noWrap w:val="0"/>
            <w:vAlign w:val="center"/>
          </w:tcPr>
          <w:p w14:paraId="55636E4C">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3</w:t>
            </w:r>
          </w:p>
        </w:tc>
        <w:tc>
          <w:tcPr>
            <w:tcW w:w="975" w:type="dxa"/>
            <w:tcBorders>
              <w:top w:val="single" w:color="auto" w:sz="4" w:space="0"/>
              <w:left w:val="single" w:color="auto" w:sz="4" w:space="0"/>
              <w:bottom w:val="single" w:color="auto" w:sz="4" w:space="0"/>
              <w:right w:val="single" w:color="auto" w:sz="4" w:space="0"/>
            </w:tcBorders>
            <w:noWrap w:val="0"/>
            <w:vAlign w:val="center"/>
          </w:tcPr>
          <w:p w14:paraId="1DE2027F">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15</w:t>
            </w:r>
          </w:p>
        </w:tc>
        <w:tc>
          <w:tcPr>
            <w:tcW w:w="932" w:type="dxa"/>
            <w:tcBorders>
              <w:top w:val="single" w:color="auto" w:sz="4" w:space="0"/>
              <w:left w:val="single" w:color="auto" w:sz="4" w:space="0"/>
              <w:bottom w:val="single" w:color="auto" w:sz="4" w:space="0"/>
              <w:right w:val="single" w:color="auto" w:sz="4" w:space="0"/>
            </w:tcBorders>
            <w:noWrap w:val="0"/>
            <w:vAlign w:val="center"/>
          </w:tcPr>
          <w:p w14:paraId="18AC374A">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45</w:t>
            </w:r>
          </w:p>
        </w:tc>
        <w:tc>
          <w:tcPr>
            <w:tcW w:w="1249" w:type="dxa"/>
            <w:tcBorders>
              <w:top w:val="single" w:color="auto" w:sz="4" w:space="0"/>
              <w:left w:val="single" w:color="auto" w:sz="4" w:space="0"/>
              <w:bottom w:val="single" w:color="auto" w:sz="4" w:space="0"/>
              <w:right w:val="single" w:color="auto" w:sz="4" w:space="0"/>
            </w:tcBorders>
            <w:noWrap w:val="0"/>
            <w:vAlign w:val="center"/>
          </w:tcPr>
          <w:p w14:paraId="4D173AEC">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可能危险</w:t>
            </w:r>
          </w:p>
        </w:tc>
      </w:tr>
      <w:tr w14:paraId="2BDCDA73">
        <w:tblPrEx>
          <w:tblCellMar>
            <w:top w:w="0" w:type="dxa"/>
            <w:left w:w="108" w:type="dxa"/>
            <w:bottom w:w="0" w:type="dxa"/>
            <w:right w:w="108" w:type="dxa"/>
          </w:tblCellMar>
        </w:tblPrEx>
        <w:trPr>
          <w:trHeight w:val="340" w:hRule="exact"/>
        </w:trPr>
        <w:tc>
          <w:tcPr>
            <w:tcW w:w="1188" w:type="dxa"/>
            <w:vMerge w:val="continue"/>
            <w:tcBorders>
              <w:top w:val="single" w:color="auto" w:sz="4" w:space="0"/>
              <w:left w:val="single" w:color="auto" w:sz="4" w:space="0"/>
              <w:bottom w:val="single" w:color="auto" w:sz="4" w:space="0"/>
              <w:right w:val="single" w:color="auto" w:sz="4" w:space="0"/>
            </w:tcBorders>
            <w:noWrap w:val="0"/>
            <w:vAlign w:val="center"/>
          </w:tcPr>
          <w:p w14:paraId="689B0A83">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p>
        </w:tc>
        <w:tc>
          <w:tcPr>
            <w:tcW w:w="2472" w:type="dxa"/>
            <w:tcBorders>
              <w:top w:val="single" w:color="auto" w:sz="4" w:space="0"/>
              <w:left w:val="single" w:color="auto" w:sz="4" w:space="0"/>
              <w:bottom w:val="single" w:color="auto" w:sz="4" w:space="0"/>
              <w:right w:val="single" w:color="auto" w:sz="4" w:space="0"/>
            </w:tcBorders>
            <w:noWrap w:val="0"/>
            <w:vAlign w:val="center"/>
          </w:tcPr>
          <w:p w14:paraId="6A280827">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物体打击</w:t>
            </w:r>
          </w:p>
        </w:tc>
        <w:tc>
          <w:tcPr>
            <w:tcW w:w="861" w:type="dxa"/>
            <w:tcBorders>
              <w:top w:val="single" w:color="auto" w:sz="4" w:space="0"/>
              <w:left w:val="single" w:color="auto" w:sz="4" w:space="0"/>
              <w:bottom w:val="single" w:color="auto" w:sz="4" w:space="0"/>
              <w:right w:val="single" w:color="auto" w:sz="4" w:space="0"/>
            </w:tcBorders>
            <w:noWrap w:val="0"/>
            <w:vAlign w:val="center"/>
          </w:tcPr>
          <w:p w14:paraId="5B07D2B5">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1</w:t>
            </w:r>
          </w:p>
        </w:tc>
        <w:tc>
          <w:tcPr>
            <w:tcW w:w="1039" w:type="dxa"/>
            <w:tcBorders>
              <w:top w:val="single" w:color="auto" w:sz="4" w:space="0"/>
              <w:left w:val="single" w:color="auto" w:sz="4" w:space="0"/>
              <w:bottom w:val="single" w:color="auto" w:sz="4" w:space="0"/>
              <w:right w:val="single" w:color="auto" w:sz="4" w:space="0"/>
            </w:tcBorders>
            <w:noWrap w:val="0"/>
            <w:vAlign w:val="center"/>
          </w:tcPr>
          <w:p w14:paraId="538FC971">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3</w:t>
            </w:r>
          </w:p>
        </w:tc>
        <w:tc>
          <w:tcPr>
            <w:tcW w:w="975" w:type="dxa"/>
            <w:tcBorders>
              <w:top w:val="single" w:color="auto" w:sz="4" w:space="0"/>
              <w:left w:val="single" w:color="auto" w:sz="4" w:space="0"/>
              <w:bottom w:val="single" w:color="auto" w:sz="4" w:space="0"/>
              <w:right w:val="single" w:color="auto" w:sz="4" w:space="0"/>
            </w:tcBorders>
            <w:noWrap w:val="0"/>
            <w:vAlign w:val="center"/>
          </w:tcPr>
          <w:p w14:paraId="7218A8A6">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15</w:t>
            </w:r>
          </w:p>
        </w:tc>
        <w:tc>
          <w:tcPr>
            <w:tcW w:w="932" w:type="dxa"/>
            <w:tcBorders>
              <w:top w:val="single" w:color="auto" w:sz="4" w:space="0"/>
              <w:left w:val="single" w:color="auto" w:sz="4" w:space="0"/>
              <w:bottom w:val="single" w:color="auto" w:sz="4" w:space="0"/>
              <w:right w:val="single" w:color="auto" w:sz="4" w:space="0"/>
            </w:tcBorders>
            <w:noWrap w:val="0"/>
            <w:vAlign w:val="center"/>
          </w:tcPr>
          <w:p w14:paraId="6EC7AC3E">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45</w:t>
            </w:r>
          </w:p>
        </w:tc>
        <w:tc>
          <w:tcPr>
            <w:tcW w:w="1249" w:type="dxa"/>
            <w:tcBorders>
              <w:top w:val="single" w:color="auto" w:sz="4" w:space="0"/>
              <w:left w:val="single" w:color="auto" w:sz="4" w:space="0"/>
              <w:bottom w:val="single" w:color="auto" w:sz="4" w:space="0"/>
              <w:right w:val="single" w:color="auto" w:sz="4" w:space="0"/>
            </w:tcBorders>
            <w:noWrap w:val="0"/>
            <w:vAlign w:val="center"/>
          </w:tcPr>
          <w:p w14:paraId="16EF7C46">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可能危险</w:t>
            </w:r>
          </w:p>
        </w:tc>
      </w:tr>
      <w:tr w14:paraId="79FEB904">
        <w:tblPrEx>
          <w:tblCellMar>
            <w:top w:w="0" w:type="dxa"/>
            <w:left w:w="108" w:type="dxa"/>
            <w:bottom w:w="0" w:type="dxa"/>
            <w:right w:w="108" w:type="dxa"/>
          </w:tblCellMar>
        </w:tblPrEx>
        <w:trPr>
          <w:trHeight w:val="340" w:hRule="exact"/>
        </w:trPr>
        <w:tc>
          <w:tcPr>
            <w:tcW w:w="1188" w:type="dxa"/>
            <w:vMerge w:val="continue"/>
            <w:tcBorders>
              <w:top w:val="single" w:color="auto" w:sz="4" w:space="0"/>
              <w:left w:val="single" w:color="auto" w:sz="4" w:space="0"/>
              <w:bottom w:val="single" w:color="auto" w:sz="4" w:space="0"/>
              <w:right w:val="single" w:color="auto" w:sz="4" w:space="0"/>
            </w:tcBorders>
            <w:noWrap w:val="0"/>
            <w:vAlign w:val="center"/>
          </w:tcPr>
          <w:p w14:paraId="144CC01A">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p>
        </w:tc>
        <w:tc>
          <w:tcPr>
            <w:tcW w:w="2472" w:type="dxa"/>
            <w:tcBorders>
              <w:top w:val="single" w:color="auto" w:sz="4" w:space="0"/>
              <w:left w:val="single" w:color="auto" w:sz="4" w:space="0"/>
              <w:bottom w:val="single" w:color="auto" w:sz="4" w:space="0"/>
              <w:right w:val="single" w:color="auto" w:sz="4" w:space="0"/>
            </w:tcBorders>
            <w:noWrap w:val="0"/>
            <w:vAlign w:val="center"/>
          </w:tcPr>
          <w:p w14:paraId="6A292552">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default" w:ascii="Times New Roman" w:hAnsi="宋体" w:eastAsia="宋体" w:cs="Times New Roman"/>
                <w:color w:val="auto"/>
                <w:kern w:val="0"/>
                <w:sz w:val="21"/>
                <w:szCs w:val="21"/>
                <w:lang w:val="en-US" w:eastAsia="en-US" w:bidi="ar-SA"/>
              </w:rPr>
            </w:pPr>
            <w:r>
              <w:rPr>
                <w:rFonts w:hint="eastAsia" w:ascii="Times New Roman" w:hAnsi="宋体" w:eastAsia="宋体" w:cs="Times New Roman"/>
                <w:color w:val="auto"/>
                <w:kern w:val="0"/>
                <w:sz w:val="21"/>
                <w:szCs w:val="21"/>
                <w:lang w:val="en-US" w:eastAsia="en-US" w:bidi="ar-SA"/>
              </w:rPr>
              <w:t>触电与雷击</w:t>
            </w:r>
          </w:p>
        </w:tc>
        <w:tc>
          <w:tcPr>
            <w:tcW w:w="861" w:type="dxa"/>
            <w:tcBorders>
              <w:top w:val="single" w:color="auto" w:sz="4" w:space="0"/>
              <w:left w:val="single" w:color="auto" w:sz="4" w:space="0"/>
              <w:bottom w:val="single" w:color="auto" w:sz="4" w:space="0"/>
              <w:right w:val="single" w:color="auto" w:sz="4" w:space="0"/>
            </w:tcBorders>
            <w:noWrap w:val="0"/>
            <w:vAlign w:val="center"/>
          </w:tcPr>
          <w:p w14:paraId="263DD7E3">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1</w:t>
            </w:r>
          </w:p>
        </w:tc>
        <w:tc>
          <w:tcPr>
            <w:tcW w:w="1039" w:type="dxa"/>
            <w:tcBorders>
              <w:top w:val="single" w:color="auto" w:sz="4" w:space="0"/>
              <w:left w:val="single" w:color="auto" w:sz="4" w:space="0"/>
              <w:bottom w:val="single" w:color="auto" w:sz="4" w:space="0"/>
              <w:right w:val="single" w:color="auto" w:sz="4" w:space="0"/>
            </w:tcBorders>
            <w:noWrap w:val="0"/>
            <w:vAlign w:val="center"/>
          </w:tcPr>
          <w:p w14:paraId="149BC52D">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3</w:t>
            </w:r>
          </w:p>
        </w:tc>
        <w:tc>
          <w:tcPr>
            <w:tcW w:w="975" w:type="dxa"/>
            <w:tcBorders>
              <w:top w:val="single" w:color="auto" w:sz="4" w:space="0"/>
              <w:left w:val="single" w:color="auto" w:sz="4" w:space="0"/>
              <w:bottom w:val="single" w:color="auto" w:sz="4" w:space="0"/>
              <w:right w:val="single" w:color="auto" w:sz="4" w:space="0"/>
            </w:tcBorders>
            <w:noWrap w:val="0"/>
            <w:vAlign w:val="center"/>
          </w:tcPr>
          <w:p w14:paraId="249289A7">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7</w:t>
            </w:r>
          </w:p>
        </w:tc>
        <w:tc>
          <w:tcPr>
            <w:tcW w:w="932" w:type="dxa"/>
            <w:tcBorders>
              <w:top w:val="single" w:color="auto" w:sz="4" w:space="0"/>
              <w:left w:val="single" w:color="auto" w:sz="4" w:space="0"/>
              <w:bottom w:val="single" w:color="auto" w:sz="4" w:space="0"/>
              <w:right w:val="single" w:color="auto" w:sz="4" w:space="0"/>
            </w:tcBorders>
            <w:noWrap w:val="0"/>
            <w:vAlign w:val="center"/>
          </w:tcPr>
          <w:p w14:paraId="54F1A48D">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21</w:t>
            </w:r>
          </w:p>
        </w:tc>
        <w:tc>
          <w:tcPr>
            <w:tcW w:w="1249" w:type="dxa"/>
            <w:tcBorders>
              <w:top w:val="single" w:color="auto" w:sz="4" w:space="0"/>
              <w:left w:val="single" w:color="auto" w:sz="4" w:space="0"/>
              <w:bottom w:val="single" w:color="auto" w:sz="4" w:space="0"/>
              <w:right w:val="single" w:color="auto" w:sz="4" w:space="0"/>
            </w:tcBorders>
            <w:noWrap w:val="0"/>
            <w:vAlign w:val="center"/>
          </w:tcPr>
          <w:p w14:paraId="30C3E619">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可能危险</w:t>
            </w:r>
          </w:p>
        </w:tc>
      </w:tr>
      <w:tr w14:paraId="29ADCF1C">
        <w:tblPrEx>
          <w:tblCellMar>
            <w:top w:w="0" w:type="dxa"/>
            <w:left w:w="108" w:type="dxa"/>
            <w:bottom w:w="0" w:type="dxa"/>
            <w:right w:w="108" w:type="dxa"/>
          </w:tblCellMar>
        </w:tblPrEx>
        <w:trPr>
          <w:trHeight w:val="340" w:hRule="exact"/>
        </w:trPr>
        <w:tc>
          <w:tcPr>
            <w:tcW w:w="1188" w:type="dxa"/>
            <w:vMerge w:val="continue"/>
            <w:tcBorders>
              <w:top w:val="single" w:color="auto" w:sz="4" w:space="0"/>
              <w:left w:val="single" w:color="auto" w:sz="4" w:space="0"/>
              <w:bottom w:val="single" w:color="auto" w:sz="4" w:space="0"/>
              <w:right w:val="single" w:color="auto" w:sz="4" w:space="0"/>
            </w:tcBorders>
            <w:noWrap w:val="0"/>
            <w:vAlign w:val="center"/>
          </w:tcPr>
          <w:p w14:paraId="2B8B264D">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p>
        </w:tc>
        <w:tc>
          <w:tcPr>
            <w:tcW w:w="2472" w:type="dxa"/>
            <w:tcBorders>
              <w:top w:val="single" w:color="auto" w:sz="4" w:space="0"/>
              <w:left w:val="single" w:color="auto" w:sz="4" w:space="0"/>
              <w:bottom w:val="single" w:color="auto" w:sz="4" w:space="0"/>
              <w:right w:val="single" w:color="auto" w:sz="4" w:space="0"/>
            </w:tcBorders>
            <w:noWrap w:val="0"/>
            <w:vAlign w:val="center"/>
          </w:tcPr>
          <w:p w14:paraId="772098EE">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火灾</w:t>
            </w:r>
          </w:p>
        </w:tc>
        <w:tc>
          <w:tcPr>
            <w:tcW w:w="861" w:type="dxa"/>
            <w:tcBorders>
              <w:top w:val="single" w:color="auto" w:sz="4" w:space="0"/>
              <w:left w:val="single" w:color="auto" w:sz="4" w:space="0"/>
              <w:bottom w:val="single" w:color="auto" w:sz="4" w:space="0"/>
              <w:right w:val="single" w:color="auto" w:sz="4" w:space="0"/>
            </w:tcBorders>
            <w:noWrap w:val="0"/>
            <w:vAlign w:val="center"/>
          </w:tcPr>
          <w:p w14:paraId="32723A7C">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1</w:t>
            </w:r>
          </w:p>
        </w:tc>
        <w:tc>
          <w:tcPr>
            <w:tcW w:w="1039" w:type="dxa"/>
            <w:tcBorders>
              <w:top w:val="single" w:color="auto" w:sz="4" w:space="0"/>
              <w:left w:val="single" w:color="auto" w:sz="4" w:space="0"/>
              <w:bottom w:val="single" w:color="auto" w:sz="4" w:space="0"/>
              <w:right w:val="single" w:color="auto" w:sz="4" w:space="0"/>
            </w:tcBorders>
            <w:noWrap w:val="0"/>
            <w:vAlign w:val="center"/>
          </w:tcPr>
          <w:p w14:paraId="3E0A62DE">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6</w:t>
            </w:r>
          </w:p>
        </w:tc>
        <w:tc>
          <w:tcPr>
            <w:tcW w:w="975" w:type="dxa"/>
            <w:tcBorders>
              <w:top w:val="single" w:color="auto" w:sz="4" w:space="0"/>
              <w:left w:val="single" w:color="auto" w:sz="4" w:space="0"/>
              <w:bottom w:val="single" w:color="auto" w:sz="4" w:space="0"/>
              <w:right w:val="single" w:color="auto" w:sz="4" w:space="0"/>
            </w:tcBorders>
            <w:noWrap w:val="0"/>
            <w:vAlign w:val="center"/>
          </w:tcPr>
          <w:p w14:paraId="7F81B89E">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7</w:t>
            </w:r>
          </w:p>
        </w:tc>
        <w:tc>
          <w:tcPr>
            <w:tcW w:w="932" w:type="dxa"/>
            <w:tcBorders>
              <w:top w:val="single" w:color="auto" w:sz="4" w:space="0"/>
              <w:left w:val="single" w:color="auto" w:sz="4" w:space="0"/>
              <w:bottom w:val="single" w:color="auto" w:sz="4" w:space="0"/>
              <w:right w:val="single" w:color="auto" w:sz="4" w:space="0"/>
            </w:tcBorders>
            <w:noWrap w:val="0"/>
            <w:vAlign w:val="center"/>
          </w:tcPr>
          <w:p w14:paraId="0AC94800">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42</w:t>
            </w:r>
          </w:p>
        </w:tc>
        <w:tc>
          <w:tcPr>
            <w:tcW w:w="1249" w:type="dxa"/>
            <w:tcBorders>
              <w:top w:val="single" w:color="auto" w:sz="4" w:space="0"/>
              <w:left w:val="single" w:color="auto" w:sz="4" w:space="0"/>
              <w:bottom w:val="single" w:color="auto" w:sz="4" w:space="0"/>
              <w:right w:val="single" w:color="auto" w:sz="4" w:space="0"/>
            </w:tcBorders>
            <w:noWrap w:val="0"/>
            <w:vAlign w:val="center"/>
          </w:tcPr>
          <w:p w14:paraId="1A90E04A">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可能危险</w:t>
            </w:r>
          </w:p>
        </w:tc>
      </w:tr>
      <w:tr w14:paraId="3134CBFB">
        <w:tblPrEx>
          <w:tblCellMar>
            <w:top w:w="0" w:type="dxa"/>
            <w:left w:w="108" w:type="dxa"/>
            <w:bottom w:w="0" w:type="dxa"/>
            <w:right w:w="108" w:type="dxa"/>
          </w:tblCellMar>
        </w:tblPrEx>
        <w:trPr>
          <w:trHeight w:val="340" w:hRule="exact"/>
        </w:trPr>
        <w:tc>
          <w:tcPr>
            <w:tcW w:w="1188" w:type="dxa"/>
            <w:vMerge w:val="restart"/>
            <w:tcBorders>
              <w:top w:val="single" w:color="auto" w:sz="4" w:space="0"/>
              <w:left w:val="single" w:color="auto" w:sz="4" w:space="0"/>
              <w:bottom w:val="single" w:color="auto" w:sz="4" w:space="0"/>
              <w:right w:val="single" w:color="auto" w:sz="4" w:space="0"/>
            </w:tcBorders>
            <w:noWrap w:val="0"/>
            <w:vAlign w:val="center"/>
          </w:tcPr>
          <w:p w14:paraId="1EBBF361">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爆破作业</w:t>
            </w:r>
          </w:p>
        </w:tc>
        <w:tc>
          <w:tcPr>
            <w:tcW w:w="2472" w:type="dxa"/>
            <w:tcBorders>
              <w:top w:val="single" w:color="auto" w:sz="4" w:space="0"/>
              <w:left w:val="single" w:color="auto" w:sz="4" w:space="0"/>
              <w:bottom w:val="single" w:color="auto" w:sz="4" w:space="0"/>
              <w:right w:val="single" w:color="auto" w:sz="4" w:space="0"/>
            </w:tcBorders>
            <w:noWrap w:val="0"/>
            <w:vAlign w:val="center"/>
          </w:tcPr>
          <w:p w14:paraId="185D01F8">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hAnsi="宋体" w:cs="Times New Roman"/>
                <w:color w:val="auto"/>
                <w:kern w:val="0"/>
                <w:sz w:val="21"/>
                <w:szCs w:val="21"/>
                <w:lang w:val="en-US" w:eastAsia="zh-CN" w:bidi="ar-SA"/>
              </w:rPr>
              <w:t>放炮</w:t>
            </w:r>
            <w:r>
              <w:rPr>
                <w:rFonts w:hint="eastAsia" w:ascii="Times New Roman" w:hAnsi="宋体" w:eastAsia="宋体" w:cs="Times New Roman"/>
                <w:color w:val="auto"/>
                <w:kern w:val="0"/>
                <w:sz w:val="21"/>
                <w:szCs w:val="21"/>
                <w:lang w:val="en-US" w:eastAsia="zh-CN" w:bidi="ar-SA"/>
              </w:rPr>
              <w:t>与火药爆炸</w:t>
            </w:r>
          </w:p>
        </w:tc>
        <w:tc>
          <w:tcPr>
            <w:tcW w:w="861" w:type="dxa"/>
            <w:tcBorders>
              <w:top w:val="single" w:color="auto" w:sz="4" w:space="0"/>
              <w:left w:val="single" w:color="auto" w:sz="4" w:space="0"/>
              <w:bottom w:val="single" w:color="auto" w:sz="4" w:space="0"/>
              <w:right w:val="single" w:color="auto" w:sz="4" w:space="0"/>
            </w:tcBorders>
            <w:noWrap w:val="0"/>
            <w:vAlign w:val="center"/>
          </w:tcPr>
          <w:p w14:paraId="3FD5F44B">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1</w:t>
            </w:r>
          </w:p>
        </w:tc>
        <w:tc>
          <w:tcPr>
            <w:tcW w:w="1039" w:type="dxa"/>
            <w:tcBorders>
              <w:top w:val="single" w:color="auto" w:sz="4" w:space="0"/>
              <w:left w:val="single" w:color="auto" w:sz="4" w:space="0"/>
              <w:bottom w:val="single" w:color="auto" w:sz="4" w:space="0"/>
              <w:right w:val="single" w:color="auto" w:sz="4" w:space="0"/>
            </w:tcBorders>
            <w:noWrap w:val="0"/>
            <w:vAlign w:val="center"/>
          </w:tcPr>
          <w:p w14:paraId="099822C0">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3</w:t>
            </w:r>
          </w:p>
        </w:tc>
        <w:tc>
          <w:tcPr>
            <w:tcW w:w="975" w:type="dxa"/>
            <w:tcBorders>
              <w:top w:val="single" w:color="auto" w:sz="4" w:space="0"/>
              <w:left w:val="single" w:color="auto" w:sz="4" w:space="0"/>
              <w:bottom w:val="single" w:color="auto" w:sz="4" w:space="0"/>
              <w:right w:val="single" w:color="auto" w:sz="4" w:space="0"/>
            </w:tcBorders>
            <w:noWrap w:val="0"/>
            <w:vAlign w:val="center"/>
          </w:tcPr>
          <w:p w14:paraId="6B75D5F3">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40</w:t>
            </w:r>
          </w:p>
        </w:tc>
        <w:tc>
          <w:tcPr>
            <w:tcW w:w="932" w:type="dxa"/>
            <w:tcBorders>
              <w:top w:val="single" w:color="auto" w:sz="4" w:space="0"/>
              <w:left w:val="single" w:color="auto" w:sz="4" w:space="0"/>
              <w:bottom w:val="single" w:color="auto" w:sz="4" w:space="0"/>
              <w:right w:val="single" w:color="auto" w:sz="4" w:space="0"/>
            </w:tcBorders>
            <w:noWrap w:val="0"/>
            <w:vAlign w:val="center"/>
          </w:tcPr>
          <w:p w14:paraId="00BFD280">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120</w:t>
            </w:r>
          </w:p>
        </w:tc>
        <w:tc>
          <w:tcPr>
            <w:tcW w:w="1249" w:type="dxa"/>
            <w:tcBorders>
              <w:top w:val="single" w:color="auto" w:sz="4" w:space="0"/>
              <w:left w:val="single" w:color="auto" w:sz="4" w:space="0"/>
              <w:bottom w:val="single" w:color="auto" w:sz="4" w:space="0"/>
              <w:right w:val="single" w:color="auto" w:sz="4" w:space="0"/>
            </w:tcBorders>
            <w:noWrap w:val="0"/>
            <w:vAlign w:val="center"/>
          </w:tcPr>
          <w:p w14:paraId="696E8190">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显著危险</w:t>
            </w:r>
          </w:p>
        </w:tc>
      </w:tr>
      <w:tr w14:paraId="2A57F439">
        <w:tblPrEx>
          <w:tblCellMar>
            <w:top w:w="0" w:type="dxa"/>
            <w:left w:w="108" w:type="dxa"/>
            <w:bottom w:w="0" w:type="dxa"/>
            <w:right w:w="108" w:type="dxa"/>
          </w:tblCellMar>
        </w:tblPrEx>
        <w:trPr>
          <w:trHeight w:val="340" w:hRule="exact"/>
        </w:trPr>
        <w:tc>
          <w:tcPr>
            <w:tcW w:w="1188" w:type="dxa"/>
            <w:vMerge w:val="continue"/>
            <w:tcBorders>
              <w:top w:val="single" w:color="auto" w:sz="4" w:space="0"/>
              <w:left w:val="single" w:color="auto" w:sz="4" w:space="0"/>
              <w:bottom w:val="single" w:color="auto" w:sz="4" w:space="0"/>
              <w:right w:val="single" w:color="auto" w:sz="4" w:space="0"/>
            </w:tcBorders>
            <w:noWrap w:val="0"/>
            <w:vAlign w:val="center"/>
          </w:tcPr>
          <w:p w14:paraId="75ADF426">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p>
        </w:tc>
        <w:tc>
          <w:tcPr>
            <w:tcW w:w="2472" w:type="dxa"/>
            <w:tcBorders>
              <w:top w:val="single" w:color="auto" w:sz="4" w:space="0"/>
              <w:left w:val="single" w:color="auto" w:sz="4" w:space="0"/>
              <w:bottom w:val="single" w:color="auto" w:sz="4" w:space="0"/>
              <w:right w:val="single" w:color="auto" w:sz="4" w:space="0"/>
            </w:tcBorders>
            <w:noWrap w:val="0"/>
            <w:vAlign w:val="center"/>
          </w:tcPr>
          <w:p w14:paraId="49E3E7D5">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坍塌</w:t>
            </w:r>
          </w:p>
        </w:tc>
        <w:tc>
          <w:tcPr>
            <w:tcW w:w="861" w:type="dxa"/>
            <w:tcBorders>
              <w:top w:val="single" w:color="auto" w:sz="4" w:space="0"/>
              <w:left w:val="single" w:color="auto" w:sz="4" w:space="0"/>
              <w:bottom w:val="single" w:color="auto" w:sz="4" w:space="0"/>
              <w:right w:val="single" w:color="auto" w:sz="4" w:space="0"/>
            </w:tcBorders>
            <w:noWrap w:val="0"/>
            <w:vAlign w:val="center"/>
          </w:tcPr>
          <w:p w14:paraId="406681D7">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1</w:t>
            </w:r>
          </w:p>
        </w:tc>
        <w:tc>
          <w:tcPr>
            <w:tcW w:w="1039" w:type="dxa"/>
            <w:tcBorders>
              <w:top w:val="single" w:color="auto" w:sz="4" w:space="0"/>
              <w:left w:val="single" w:color="auto" w:sz="4" w:space="0"/>
              <w:bottom w:val="single" w:color="auto" w:sz="4" w:space="0"/>
              <w:right w:val="single" w:color="auto" w:sz="4" w:space="0"/>
            </w:tcBorders>
            <w:noWrap w:val="0"/>
            <w:vAlign w:val="center"/>
          </w:tcPr>
          <w:p w14:paraId="6518C365">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3</w:t>
            </w:r>
          </w:p>
        </w:tc>
        <w:tc>
          <w:tcPr>
            <w:tcW w:w="975" w:type="dxa"/>
            <w:tcBorders>
              <w:top w:val="single" w:color="auto" w:sz="4" w:space="0"/>
              <w:left w:val="single" w:color="auto" w:sz="4" w:space="0"/>
              <w:bottom w:val="single" w:color="auto" w:sz="4" w:space="0"/>
              <w:right w:val="single" w:color="auto" w:sz="4" w:space="0"/>
            </w:tcBorders>
            <w:noWrap w:val="0"/>
            <w:vAlign w:val="center"/>
          </w:tcPr>
          <w:p w14:paraId="37B450A5">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40</w:t>
            </w:r>
          </w:p>
        </w:tc>
        <w:tc>
          <w:tcPr>
            <w:tcW w:w="932" w:type="dxa"/>
            <w:tcBorders>
              <w:top w:val="single" w:color="auto" w:sz="4" w:space="0"/>
              <w:left w:val="single" w:color="auto" w:sz="4" w:space="0"/>
              <w:bottom w:val="single" w:color="auto" w:sz="4" w:space="0"/>
              <w:right w:val="single" w:color="auto" w:sz="4" w:space="0"/>
            </w:tcBorders>
            <w:noWrap w:val="0"/>
            <w:vAlign w:val="center"/>
          </w:tcPr>
          <w:p w14:paraId="193C6390">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120</w:t>
            </w:r>
          </w:p>
        </w:tc>
        <w:tc>
          <w:tcPr>
            <w:tcW w:w="1249" w:type="dxa"/>
            <w:tcBorders>
              <w:top w:val="single" w:color="auto" w:sz="4" w:space="0"/>
              <w:left w:val="single" w:color="auto" w:sz="4" w:space="0"/>
              <w:bottom w:val="single" w:color="auto" w:sz="4" w:space="0"/>
              <w:right w:val="single" w:color="auto" w:sz="4" w:space="0"/>
            </w:tcBorders>
            <w:noWrap w:val="0"/>
            <w:vAlign w:val="center"/>
          </w:tcPr>
          <w:p w14:paraId="593CD090">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显著危险</w:t>
            </w:r>
          </w:p>
        </w:tc>
      </w:tr>
      <w:tr w14:paraId="645296D2">
        <w:tblPrEx>
          <w:tblCellMar>
            <w:top w:w="0" w:type="dxa"/>
            <w:left w:w="108" w:type="dxa"/>
            <w:bottom w:w="0" w:type="dxa"/>
            <w:right w:w="108" w:type="dxa"/>
          </w:tblCellMar>
        </w:tblPrEx>
        <w:trPr>
          <w:trHeight w:val="340" w:hRule="exact"/>
        </w:trPr>
        <w:tc>
          <w:tcPr>
            <w:tcW w:w="1188" w:type="dxa"/>
            <w:vMerge w:val="continue"/>
            <w:tcBorders>
              <w:top w:val="single" w:color="auto" w:sz="4" w:space="0"/>
              <w:left w:val="single" w:color="auto" w:sz="4" w:space="0"/>
              <w:bottom w:val="single" w:color="auto" w:sz="4" w:space="0"/>
              <w:right w:val="single" w:color="auto" w:sz="4" w:space="0"/>
            </w:tcBorders>
            <w:noWrap w:val="0"/>
            <w:vAlign w:val="center"/>
          </w:tcPr>
          <w:p w14:paraId="5877C11C">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p>
        </w:tc>
        <w:tc>
          <w:tcPr>
            <w:tcW w:w="2472" w:type="dxa"/>
            <w:tcBorders>
              <w:top w:val="single" w:color="auto" w:sz="4" w:space="0"/>
              <w:left w:val="single" w:color="auto" w:sz="4" w:space="0"/>
              <w:bottom w:val="single" w:color="auto" w:sz="4" w:space="0"/>
              <w:right w:val="single" w:color="auto" w:sz="4" w:space="0"/>
            </w:tcBorders>
            <w:noWrap w:val="0"/>
            <w:vAlign w:val="center"/>
          </w:tcPr>
          <w:p w14:paraId="3C15ED3F">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高处坠落</w:t>
            </w:r>
          </w:p>
        </w:tc>
        <w:tc>
          <w:tcPr>
            <w:tcW w:w="861" w:type="dxa"/>
            <w:tcBorders>
              <w:top w:val="single" w:color="auto" w:sz="4" w:space="0"/>
              <w:left w:val="single" w:color="auto" w:sz="4" w:space="0"/>
              <w:bottom w:val="single" w:color="auto" w:sz="4" w:space="0"/>
              <w:right w:val="single" w:color="auto" w:sz="4" w:space="0"/>
            </w:tcBorders>
            <w:noWrap w:val="0"/>
            <w:vAlign w:val="center"/>
          </w:tcPr>
          <w:p w14:paraId="07B3E718">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3</w:t>
            </w:r>
          </w:p>
        </w:tc>
        <w:tc>
          <w:tcPr>
            <w:tcW w:w="1039" w:type="dxa"/>
            <w:tcBorders>
              <w:top w:val="single" w:color="auto" w:sz="4" w:space="0"/>
              <w:left w:val="single" w:color="auto" w:sz="4" w:space="0"/>
              <w:bottom w:val="single" w:color="auto" w:sz="4" w:space="0"/>
              <w:right w:val="single" w:color="auto" w:sz="4" w:space="0"/>
            </w:tcBorders>
            <w:noWrap w:val="0"/>
            <w:vAlign w:val="center"/>
          </w:tcPr>
          <w:p w14:paraId="6F864CC4">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3</w:t>
            </w:r>
          </w:p>
        </w:tc>
        <w:tc>
          <w:tcPr>
            <w:tcW w:w="975" w:type="dxa"/>
            <w:tcBorders>
              <w:top w:val="single" w:color="auto" w:sz="4" w:space="0"/>
              <w:left w:val="single" w:color="auto" w:sz="4" w:space="0"/>
              <w:bottom w:val="single" w:color="auto" w:sz="4" w:space="0"/>
              <w:right w:val="single" w:color="auto" w:sz="4" w:space="0"/>
            </w:tcBorders>
            <w:noWrap w:val="0"/>
            <w:vAlign w:val="center"/>
          </w:tcPr>
          <w:p w14:paraId="7DBD1BE7">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15</w:t>
            </w:r>
          </w:p>
        </w:tc>
        <w:tc>
          <w:tcPr>
            <w:tcW w:w="932" w:type="dxa"/>
            <w:tcBorders>
              <w:top w:val="single" w:color="auto" w:sz="4" w:space="0"/>
              <w:left w:val="single" w:color="auto" w:sz="4" w:space="0"/>
              <w:bottom w:val="single" w:color="auto" w:sz="4" w:space="0"/>
              <w:right w:val="single" w:color="auto" w:sz="4" w:space="0"/>
            </w:tcBorders>
            <w:noWrap w:val="0"/>
            <w:vAlign w:val="center"/>
          </w:tcPr>
          <w:p w14:paraId="770CE9D7">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135</w:t>
            </w:r>
          </w:p>
        </w:tc>
        <w:tc>
          <w:tcPr>
            <w:tcW w:w="1249" w:type="dxa"/>
            <w:tcBorders>
              <w:top w:val="single" w:color="auto" w:sz="4" w:space="0"/>
              <w:left w:val="single" w:color="auto" w:sz="4" w:space="0"/>
              <w:bottom w:val="single" w:color="auto" w:sz="4" w:space="0"/>
              <w:right w:val="single" w:color="auto" w:sz="4" w:space="0"/>
            </w:tcBorders>
            <w:noWrap w:val="0"/>
            <w:vAlign w:val="center"/>
          </w:tcPr>
          <w:p w14:paraId="054CBC47">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显著危险</w:t>
            </w:r>
          </w:p>
        </w:tc>
      </w:tr>
      <w:tr w14:paraId="3E5BA4DC">
        <w:tblPrEx>
          <w:tblCellMar>
            <w:top w:w="0" w:type="dxa"/>
            <w:left w:w="108" w:type="dxa"/>
            <w:bottom w:w="0" w:type="dxa"/>
            <w:right w:w="108" w:type="dxa"/>
          </w:tblCellMar>
        </w:tblPrEx>
        <w:trPr>
          <w:trHeight w:val="340" w:hRule="exact"/>
        </w:trPr>
        <w:tc>
          <w:tcPr>
            <w:tcW w:w="1188" w:type="dxa"/>
            <w:vMerge w:val="continue"/>
            <w:tcBorders>
              <w:top w:val="single" w:color="auto" w:sz="4" w:space="0"/>
              <w:left w:val="single" w:color="auto" w:sz="4" w:space="0"/>
              <w:bottom w:val="single" w:color="auto" w:sz="4" w:space="0"/>
              <w:right w:val="single" w:color="auto" w:sz="4" w:space="0"/>
            </w:tcBorders>
            <w:noWrap w:val="0"/>
            <w:vAlign w:val="center"/>
          </w:tcPr>
          <w:p w14:paraId="55B36416">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p>
        </w:tc>
        <w:tc>
          <w:tcPr>
            <w:tcW w:w="2472" w:type="dxa"/>
            <w:tcBorders>
              <w:top w:val="single" w:color="auto" w:sz="4" w:space="0"/>
              <w:left w:val="single" w:color="auto" w:sz="4" w:space="0"/>
              <w:bottom w:val="single" w:color="auto" w:sz="4" w:space="0"/>
              <w:right w:val="single" w:color="auto" w:sz="4" w:space="0"/>
            </w:tcBorders>
            <w:noWrap w:val="0"/>
            <w:vAlign w:val="center"/>
          </w:tcPr>
          <w:p w14:paraId="7618D905">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物体打击</w:t>
            </w:r>
          </w:p>
        </w:tc>
        <w:tc>
          <w:tcPr>
            <w:tcW w:w="861" w:type="dxa"/>
            <w:tcBorders>
              <w:top w:val="single" w:color="auto" w:sz="4" w:space="0"/>
              <w:left w:val="single" w:color="auto" w:sz="4" w:space="0"/>
              <w:bottom w:val="single" w:color="auto" w:sz="4" w:space="0"/>
              <w:right w:val="single" w:color="auto" w:sz="4" w:space="0"/>
            </w:tcBorders>
            <w:noWrap w:val="0"/>
            <w:vAlign w:val="center"/>
          </w:tcPr>
          <w:p w14:paraId="0469E099">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1</w:t>
            </w:r>
          </w:p>
        </w:tc>
        <w:tc>
          <w:tcPr>
            <w:tcW w:w="1039" w:type="dxa"/>
            <w:tcBorders>
              <w:top w:val="single" w:color="auto" w:sz="4" w:space="0"/>
              <w:left w:val="single" w:color="auto" w:sz="4" w:space="0"/>
              <w:bottom w:val="single" w:color="auto" w:sz="4" w:space="0"/>
              <w:right w:val="single" w:color="auto" w:sz="4" w:space="0"/>
            </w:tcBorders>
            <w:noWrap w:val="0"/>
            <w:vAlign w:val="center"/>
          </w:tcPr>
          <w:p w14:paraId="2D7D5AEB">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3</w:t>
            </w:r>
          </w:p>
        </w:tc>
        <w:tc>
          <w:tcPr>
            <w:tcW w:w="975" w:type="dxa"/>
            <w:tcBorders>
              <w:top w:val="single" w:color="auto" w:sz="4" w:space="0"/>
              <w:left w:val="single" w:color="auto" w:sz="4" w:space="0"/>
              <w:bottom w:val="single" w:color="auto" w:sz="4" w:space="0"/>
              <w:right w:val="single" w:color="auto" w:sz="4" w:space="0"/>
            </w:tcBorders>
            <w:noWrap w:val="0"/>
            <w:vAlign w:val="center"/>
          </w:tcPr>
          <w:p w14:paraId="417C9A59">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15</w:t>
            </w:r>
          </w:p>
        </w:tc>
        <w:tc>
          <w:tcPr>
            <w:tcW w:w="932" w:type="dxa"/>
            <w:tcBorders>
              <w:top w:val="single" w:color="auto" w:sz="4" w:space="0"/>
              <w:left w:val="single" w:color="auto" w:sz="4" w:space="0"/>
              <w:bottom w:val="single" w:color="auto" w:sz="4" w:space="0"/>
              <w:right w:val="single" w:color="auto" w:sz="4" w:space="0"/>
            </w:tcBorders>
            <w:noWrap w:val="0"/>
            <w:vAlign w:val="center"/>
          </w:tcPr>
          <w:p w14:paraId="456594A1">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45</w:t>
            </w:r>
          </w:p>
        </w:tc>
        <w:tc>
          <w:tcPr>
            <w:tcW w:w="1249" w:type="dxa"/>
            <w:tcBorders>
              <w:top w:val="single" w:color="auto" w:sz="4" w:space="0"/>
              <w:left w:val="single" w:color="auto" w:sz="4" w:space="0"/>
              <w:bottom w:val="single" w:color="auto" w:sz="4" w:space="0"/>
              <w:right w:val="single" w:color="auto" w:sz="4" w:space="0"/>
            </w:tcBorders>
            <w:noWrap w:val="0"/>
            <w:vAlign w:val="center"/>
          </w:tcPr>
          <w:p w14:paraId="239DC55E">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可能危险</w:t>
            </w:r>
          </w:p>
        </w:tc>
      </w:tr>
      <w:tr w14:paraId="2C86A570">
        <w:tblPrEx>
          <w:tblCellMar>
            <w:top w:w="0" w:type="dxa"/>
            <w:left w:w="108" w:type="dxa"/>
            <w:bottom w:w="0" w:type="dxa"/>
            <w:right w:w="108" w:type="dxa"/>
          </w:tblCellMar>
        </w:tblPrEx>
        <w:trPr>
          <w:trHeight w:val="340" w:hRule="exact"/>
        </w:trPr>
        <w:tc>
          <w:tcPr>
            <w:tcW w:w="1188" w:type="dxa"/>
            <w:vMerge w:val="continue"/>
            <w:tcBorders>
              <w:top w:val="single" w:color="auto" w:sz="4" w:space="0"/>
              <w:left w:val="single" w:color="auto" w:sz="4" w:space="0"/>
              <w:bottom w:val="single" w:color="auto" w:sz="4" w:space="0"/>
              <w:right w:val="single" w:color="auto" w:sz="4" w:space="0"/>
            </w:tcBorders>
            <w:noWrap w:val="0"/>
            <w:vAlign w:val="center"/>
          </w:tcPr>
          <w:p w14:paraId="4E1B384F">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p>
        </w:tc>
        <w:tc>
          <w:tcPr>
            <w:tcW w:w="2472" w:type="dxa"/>
            <w:tcBorders>
              <w:top w:val="single" w:color="auto" w:sz="4" w:space="0"/>
              <w:left w:val="single" w:color="auto" w:sz="4" w:space="0"/>
              <w:bottom w:val="single" w:color="auto" w:sz="4" w:space="0"/>
              <w:right w:val="single" w:color="auto" w:sz="4" w:space="0"/>
            </w:tcBorders>
            <w:noWrap w:val="0"/>
            <w:vAlign w:val="center"/>
          </w:tcPr>
          <w:p w14:paraId="1593A1DD">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火灾</w:t>
            </w:r>
          </w:p>
        </w:tc>
        <w:tc>
          <w:tcPr>
            <w:tcW w:w="861" w:type="dxa"/>
            <w:tcBorders>
              <w:top w:val="single" w:color="auto" w:sz="4" w:space="0"/>
              <w:left w:val="single" w:color="auto" w:sz="4" w:space="0"/>
              <w:bottom w:val="single" w:color="auto" w:sz="4" w:space="0"/>
              <w:right w:val="single" w:color="auto" w:sz="4" w:space="0"/>
            </w:tcBorders>
            <w:noWrap w:val="0"/>
            <w:vAlign w:val="center"/>
          </w:tcPr>
          <w:p w14:paraId="1824A120">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1</w:t>
            </w:r>
          </w:p>
        </w:tc>
        <w:tc>
          <w:tcPr>
            <w:tcW w:w="1039" w:type="dxa"/>
            <w:tcBorders>
              <w:top w:val="single" w:color="auto" w:sz="4" w:space="0"/>
              <w:left w:val="single" w:color="auto" w:sz="4" w:space="0"/>
              <w:bottom w:val="single" w:color="auto" w:sz="4" w:space="0"/>
              <w:right w:val="single" w:color="auto" w:sz="4" w:space="0"/>
            </w:tcBorders>
            <w:noWrap w:val="0"/>
            <w:vAlign w:val="center"/>
          </w:tcPr>
          <w:p w14:paraId="3704A852">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5</w:t>
            </w:r>
          </w:p>
        </w:tc>
        <w:tc>
          <w:tcPr>
            <w:tcW w:w="975" w:type="dxa"/>
            <w:tcBorders>
              <w:top w:val="single" w:color="auto" w:sz="4" w:space="0"/>
              <w:left w:val="single" w:color="auto" w:sz="4" w:space="0"/>
              <w:bottom w:val="single" w:color="auto" w:sz="4" w:space="0"/>
              <w:right w:val="single" w:color="auto" w:sz="4" w:space="0"/>
            </w:tcBorders>
            <w:noWrap w:val="0"/>
            <w:vAlign w:val="center"/>
          </w:tcPr>
          <w:p w14:paraId="0D833456">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7</w:t>
            </w:r>
          </w:p>
        </w:tc>
        <w:tc>
          <w:tcPr>
            <w:tcW w:w="932" w:type="dxa"/>
            <w:tcBorders>
              <w:top w:val="single" w:color="auto" w:sz="4" w:space="0"/>
              <w:left w:val="single" w:color="auto" w:sz="4" w:space="0"/>
              <w:bottom w:val="single" w:color="auto" w:sz="4" w:space="0"/>
              <w:right w:val="single" w:color="auto" w:sz="4" w:space="0"/>
            </w:tcBorders>
            <w:noWrap w:val="0"/>
            <w:vAlign w:val="center"/>
          </w:tcPr>
          <w:p w14:paraId="7BB03FBB">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45</w:t>
            </w:r>
          </w:p>
        </w:tc>
        <w:tc>
          <w:tcPr>
            <w:tcW w:w="1249" w:type="dxa"/>
            <w:tcBorders>
              <w:top w:val="single" w:color="auto" w:sz="4" w:space="0"/>
              <w:left w:val="single" w:color="auto" w:sz="4" w:space="0"/>
              <w:bottom w:val="single" w:color="auto" w:sz="4" w:space="0"/>
              <w:right w:val="single" w:color="auto" w:sz="4" w:space="0"/>
            </w:tcBorders>
            <w:noWrap w:val="0"/>
            <w:vAlign w:val="center"/>
          </w:tcPr>
          <w:p w14:paraId="310C7235">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可能危险</w:t>
            </w:r>
          </w:p>
        </w:tc>
      </w:tr>
      <w:tr w14:paraId="7AA022F6">
        <w:tblPrEx>
          <w:tblCellMar>
            <w:top w:w="0" w:type="dxa"/>
            <w:left w:w="108" w:type="dxa"/>
            <w:bottom w:w="0" w:type="dxa"/>
            <w:right w:w="108" w:type="dxa"/>
          </w:tblCellMar>
        </w:tblPrEx>
        <w:trPr>
          <w:trHeight w:val="340" w:hRule="exact"/>
        </w:trPr>
        <w:tc>
          <w:tcPr>
            <w:tcW w:w="1188" w:type="dxa"/>
            <w:vMerge w:val="continue"/>
            <w:tcBorders>
              <w:top w:val="single" w:color="auto" w:sz="4" w:space="0"/>
              <w:left w:val="single" w:color="auto" w:sz="4" w:space="0"/>
              <w:bottom w:val="single" w:color="auto" w:sz="4" w:space="0"/>
              <w:right w:val="single" w:color="auto" w:sz="4" w:space="0"/>
            </w:tcBorders>
            <w:noWrap w:val="0"/>
            <w:vAlign w:val="center"/>
          </w:tcPr>
          <w:p w14:paraId="6051BA5A">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p>
        </w:tc>
        <w:tc>
          <w:tcPr>
            <w:tcW w:w="2472" w:type="dxa"/>
            <w:tcBorders>
              <w:top w:val="single" w:color="auto" w:sz="4" w:space="0"/>
              <w:left w:val="single" w:color="auto" w:sz="4" w:space="0"/>
              <w:bottom w:val="single" w:color="auto" w:sz="4" w:space="0"/>
              <w:right w:val="single" w:color="auto" w:sz="4" w:space="0"/>
            </w:tcBorders>
            <w:noWrap w:val="0"/>
            <w:vAlign w:val="center"/>
          </w:tcPr>
          <w:p w14:paraId="2DC1C559">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雷击</w:t>
            </w:r>
          </w:p>
        </w:tc>
        <w:tc>
          <w:tcPr>
            <w:tcW w:w="861" w:type="dxa"/>
            <w:tcBorders>
              <w:top w:val="single" w:color="auto" w:sz="4" w:space="0"/>
              <w:left w:val="single" w:color="auto" w:sz="4" w:space="0"/>
              <w:bottom w:val="single" w:color="auto" w:sz="4" w:space="0"/>
              <w:right w:val="single" w:color="auto" w:sz="4" w:space="0"/>
            </w:tcBorders>
            <w:noWrap w:val="0"/>
            <w:vAlign w:val="center"/>
          </w:tcPr>
          <w:p w14:paraId="5B6E496F">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1</w:t>
            </w:r>
          </w:p>
        </w:tc>
        <w:tc>
          <w:tcPr>
            <w:tcW w:w="1039" w:type="dxa"/>
            <w:tcBorders>
              <w:top w:val="single" w:color="auto" w:sz="4" w:space="0"/>
              <w:left w:val="single" w:color="auto" w:sz="4" w:space="0"/>
              <w:bottom w:val="single" w:color="auto" w:sz="4" w:space="0"/>
              <w:right w:val="single" w:color="auto" w:sz="4" w:space="0"/>
            </w:tcBorders>
            <w:noWrap w:val="0"/>
            <w:vAlign w:val="center"/>
          </w:tcPr>
          <w:p w14:paraId="4D7522A2">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3</w:t>
            </w:r>
          </w:p>
        </w:tc>
        <w:tc>
          <w:tcPr>
            <w:tcW w:w="975" w:type="dxa"/>
            <w:tcBorders>
              <w:top w:val="single" w:color="auto" w:sz="4" w:space="0"/>
              <w:left w:val="single" w:color="auto" w:sz="4" w:space="0"/>
              <w:bottom w:val="single" w:color="auto" w:sz="4" w:space="0"/>
              <w:right w:val="single" w:color="auto" w:sz="4" w:space="0"/>
            </w:tcBorders>
            <w:noWrap w:val="0"/>
            <w:vAlign w:val="center"/>
          </w:tcPr>
          <w:p w14:paraId="46DD4E94">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15</w:t>
            </w:r>
          </w:p>
        </w:tc>
        <w:tc>
          <w:tcPr>
            <w:tcW w:w="932" w:type="dxa"/>
            <w:tcBorders>
              <w:top w:val="single" w:color="auto" w:sz="4" w:space="0"/>
              <w:left w:val="single" w:color="auto" w:sz="4" w:space="0"/>
              <w:bottom w:val="single" w:color="auto" w:sz="4" w:space="0"/>
              <w:right w:val="single" w:color="auto" w:sz="4" w:space="0"/>
            </w:tcBorders>
            <w:noWrap w:val="0"/>
            <w:vAlign w:val="center"/>
          </w:tcPr>
          <w:p w14:paraId="55B99F25">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45</w:t>
            </w:r>
          </w:p>
        </w:tc>
        <w:tc>
          <w:tcPr>
            <w:tcW w:w="1249" w:type="dxa"/>
            <w:tcBorders>
              <w:top w:val="single" w:color="auto" w:sz="4" w:space="0"/>
              <w:left w:val="single" w:color="auto" w:sz="4" w:space="0"/>
              <w:bottom w:val="single" w:color="auto" w:sz="4" w:space="0"/>
              <w:right w:val="single" w:color="auto" w:sz="4" w:space="0"/>
            </w:tcBorders>
            <w:noWrap w:val="0"/>
            <w:vAlign w:val="center"/>
          </w:tcPr>
          <w:p w14:paraId="35C89DD0">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可能危险</w:t>
            </w:r>
          </w:p>
        </w:tc>
      </w:tr>
      <w:tr w14:paraId="1B5A4AF6">
        <w:tblPrEx>
          <w:tblCellMar>
            <w:top w:w="0" w:type="dxa"/>
            <w:left w:w="108" w:type="dxa"/>
            <w:bottom w:w="0" w:type="dxa"/>
            <w:right w:w="108" w:type="dxa"/>
          </w:tblCellMar>
        </w:tblPrEx>
        <w:trPr>
          <w:trHeight w:val="340" w:hRule="exact"/>
        </w:trPr>
        <w:tc>
          <w:tcPr>
            <w:tcW w:w="1188" w:type="dxa"/>
            <w:vMerge w:val="restart"/>
            <w:tcBorders>
              <w:top w:val="single" w:color="auto" w:sz="4" w:space="0"/>
              <w:left w:val="single" w:color="auto" w:sz="4" w:space="0"/>
              <w:right w:val="single" w:color="auto" w:sz="4" w:space="0"/>
            </w:tcBorders>
            <w:noWrap w:val="0"/>
            <w:vAlign w:val="center"/>
          </w:tcPr>
          <w:p w14:paraId="16F063EC">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eastAsia" w:ascii="Times New Roman" w:hAnsi="宋体" w:eastAsia="宋体" w:cs="Times New Roman"/>
                <w:color w:val="auto"/>
                <w:kern w:val="0"/>
                <w:sz w:val="21"/>
                <w:szCs w:val="21"/>
                <w:lang w:val="en-US" w:eastAsia="zh-CN" w:bidi="ar-SA"/>
              </w:rPr>
            </w:pPr>
          </w:p>
          <w:p w14:paraId="5CC26991">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铲装</w:t>
            </w:r>
          </w:p>
          <w:p w14:paraId="6AF9A55A">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运输作业</w:t>
            </w:r>
          </w:p>
        </w:tc>
        <w:tc>
          <w:tcPr>
            <w:tcW w:w="2472" w:type="dxa"/>
            <w:tcBorders>
              <w:top w:val="single" w:color="auto" w:sz="4" w:space="0"/>
              <w:left w:val="single" w:color="auto" w:sz="4" w:space="0"/>
              <w:bottom w:val="single" w:color="auto" w:sz="4" w:space="0"/>
              <w:right w:val="single" w:color="auto" w:sz="4" w:space="0"/>
            </w:tcBorders>
            <w:noWrap w:val="0"/>
            <w:vAlign w:val="center"/>
          </w:tcPr>
          <w:p w14:paraId="5032D98E">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车辆伤害</w:t>
            </w:r>
          </w:p>
        </w:tc>
        <w:tc>
          <w:tcPr>
            <w:tcW w:w="861" w:type="dxa"/>
            <w:tcBorders>
              <w:top w:val="single" w:color="auto" w:sz="4" w:space="0"/>
              <w:left w:val="single" w:color="auto" w:sz="4" w:space="0"/>
              <w:bottom w:val="single" w:color="auto" w:sz="4" w:space="0"/>
              <w:right w:val="single" w:color="auto" w:sz="4" w:space="0"/>
            </w:tcBorders>
            <w:noWrap w:val="0"/>
            <w:vAlign w:val="center"/>
          </w:tcPr>
          <w:p w14:paraId="4268A8E8">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3</w:t>
            </w:r>
          </w:p>
        </w:tc>
        <w:tc>
          <w:tcPr>
            <w:tcW w:w="1039" w:type="dxa"/>
            <w:tcBorders>
              <w:top w:val="single" w:color="auto" w:sz="4" w:space="0"/>
              <w:left w:val="single" w:color="auto" w:sz="4" w:space="0"/>
              <w:bottom w:val="single" w:color="auto" w:sz="4" w:space="0"/>
              <w:right w:val="single" w:color="auto" w:sz="4" w:space="0"/>
            </w:tcBorders>
            <w:noWrap w:val="0"/>
            <w:vAlign w:val="center"/>
          </w:tcPr>
          <w:p w14:paraId="3A04A8A4">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2</w:t>
            </w:r>
          </w:p>
        </w:tc>
        <w:tc>
          <w:tcPr>
            <w:tcW w:w="975" w:type="dxa"/>
            <w:tcBorders>
              <w:top w:val="single" w:color="auto" w:sz="4" w:space="0"/>
              <w:left w:val="single" w:color="auto" w:sz="4" w:space="0"/>
              <w:bottom w:val="single" w:color="auto" w:sz="4" w:space="0"/>
              <w:right w:val="single" w:color="auto" w:sz="4" w:space="0"/>
            </w:tcBorders>
            <w:noWrap w:val="0"/>
            <w:vAlign w:val="center"/>
          </w:tcPr>
          <w:p w14:paraId="6244182B">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15</w:t>
            </w:r>
          </w:p>
        </w:tc>
        <w:tc>
          <w:tcPr>
            <w:tcW w:w="932" w:type="dxa"/>
            <w:tcBorders>
              <w:top w:val="single" w:color="auto" w:sz="4" w:space="0"/>
              <w:left w:val="single" w:color="auto" w:sz="4" w:space="0"/>
              <w:bottom w:val="single" w:color="auto" w:sz="4" w:space="0"/>
              <w:right w:val="single" w:color="auto" w:sz="4" w:space="0"/>
            </w:tcBorders>
            <w:noWrap w:val="0"/>
            <w:vAlign w:val="center"/>
          </w:tcPr>
          <w:p w14:paraId="4FA99D9C">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90</w:t>
            </w:r>
          </w:p>
        </w:tc>
        <w:tc>
          <w:tcPr>
            <w:tcW w:w="1249" w:type="dxa"/>
            <w:tcBorders>
              <w:top w:val="single" w:color="auto" w:sz="4" w:space="0"/>
              <w:left w:val="single" w:color="auto" w:sz="4" w:space="0"/>
              <w:bottom w:val="single" w:color="auto" w:sz="4" w:space="0"/>
              <w:right w:val="single" w:color="auto" w:sz="4" w:space="0"/>
            </w:tcBorders>
            <w:noWrap w:val="0"/>
            <w:vAlign w:val="center"/>
          </w:tcPr>
          <w:p w14:paraId="132BA848">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显著危险</w:t>
            </w:r>
          </w:p>
        </w:tc>
      </w:tr>
      <w:tr w14:paraId="7ED8F802">
        <w:tblPrEx>
          <w:tblCellMar>
            <w:top w:w="0" w:type="dxa"/>
            <w:left w:w="108" w:type="dxa"/>
            <w:bottom w:w="0" w:type="dxa"/>
            <w:right w:w="108" w:type="dxa"/>
          </w:tblCellMar>
        </w:tblPrEx>
        <w:trPr>
          <w:trHeight w:val="340" w:hRule="exact"/>
        </w:trPr>
        <w:tc>
          <w:tcPr>
            <w:tcW w:w="1188" w:type="dxa"/>
            <w:vMerge w:val="continue"/>
            <w:tcBorders>
              <w:left w:val="single" w:color="auto" w:sz="4" w:space="0"/>
              <w:right w:val="single" w:color="auto" w:sz="4" w:space="0"/>
            </w:tcBorders>
            <w:noWrap w:val="0"/>
            <w:vAlign w:val="center"/>
          </w:tcPr>
          <w:p w14:paraId="2F45F90C">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p>
        </w:tc>
        <w:tc>
          <w:tcPr>
            <w:tcW w:w="2472" w:type="dxa"/>
            <w:tcBorders>
              <w:top w:val="single" w:color="auto" w:sz="4" w:space="0"/>
              <w:left w:val="single" w:color="auto" w:sz="4" w:space="0"/>
              <w:bottom w:val="single" w:color="auto" w:sz="4" w:space="0"/>
              <w:right w:val="single" w:color="auto" w:sz="4" w:space="0"/>
            </w:tcBorders>
            <w:noWrap w:val="0"/>
            <w:vAlign w:val="center"/>
          </w:tcPr>
          <w:p w14:paraId="758AFB19">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高处坠落</w:t>
            </w:r>
          </w:p>
        </w:tc>
        <w:tc>
          <w:tcPr>
            <w:tcW w:w="861" w:type="dxa"/>
            <w:tcBorders>
              <w:top w:val="single" w:color="auto" w:sz="4" w:space="0"/>
              <w:left w:val="single" w:color="auto" w:sz="4" w:space="0"/>
              <w:bottom w:val="single" w:color="auto" w:sz="4" w:space="0"/>
              <w:right w:val="single" w:color="auto" w:sz="4" w:space="0"/>
            </w:tcBorders>
            <w:noWrap w:val="0"/>
            <w:vAlign w:val="center"/>
          </w:tcPr>
          <w:p w14:paraId="37ED3B00">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3</w:t>
            </w:r>
          </w:p>
        </w:tc>
        <w:tc>
          <w:tcPr>
            <w:tcW w:w="1039" w:type="dxa"/>
            <w:tcBorders>
              <w:top w:val="single" w:color="auto" w:sz="4" w:space="0"/>
              <w:left w:val="single" w:color="auto" w:sz="4" w:space="0"/>
              <w:bottom w:val="single" w:color="auto" w:sz="4" w:space="0"/>
              <w:right w:val="single" w:color="auto" w:sz="4" w:space="0"/>
            </w:tcBorders>
            <w:noWrap w:val="0"/>
            <w:vAlign w:val="center"/>
          </w:tcPr>
          <w:p w14:paraId="4BB34F04">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2</w:t>
            </w:r>
          </w:p>
        </w:tc>
        <w:tc>
          <w:tcPr>
            <w:tcW w:w="975" w:type="dxa"/>
            <w:tcBorders>
              <w:top w:val="single" w:color="auto" w:sz="4" w:space="0"/>
              <w:left w:val="single" w:color="auto" w:sz="4" w:space="0"/>
              <w:bottom w:val="single" w:color="auto" w:sz="4" w:space="0"/>
              <w:right w:val="single" w:color="auto" w:sz="4" w:space="0"/>
            </w:tcBorders>
            <w:noWrap w:val="0"/>
            <w:vAlign w:val="center"/>
          </w:tcPr>
          <w:p w14:paraId="5469FF7A">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15</w:t>
            </w:r>
          </w:p>
        </w:tc>
        <w:tc>
          <w:tcPr>
            <w:tcW w:w="932" w:type="dxa"/>
            <w:tcBorders>
              <w:top w:val="single" w:color="auto" w:sz="4" w:space="0"/>
              <w:left w:val="single" w:color="auto" w:sz="4" w:space="0"/>
              <w:bottom w:val="single" w:color="auto" w:sz="4" w:space="0"/>
              <w:right w:val="single" w:color="auto" w:sz="4" w:space="0"/>
            </w:tcBorders>
            <w:noWrap w:val="0"/>
            <w:vAlign w:val="center"/>
          </w:tcPr>
          <w:p w14:paraId="42CE392F">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90</w:t>
            </w:r>
          </w:p>
        </w:tc>
        <w:tc>
          <w:tcPr>
            <w:tcW w:w="1249" w:type="dxa"/>
            <w:tcBorders>
              <w:top w:val="single" w:color="auto" w:sz="4" w:space="0"/>
              <w:left w:val="single" w:color="auto" w:sz="4" w:space="0"/>
              <w:bottom w:val="single" w:color="auto" w:sz="4" w:space="0"/>
              <w:right w:val="single" w:color="auto" w:sz="4" w:space="0"/>
            </w:tcBorders>
            <w:noWrap w:val="0"/>
            <w:vAlign w:val="center"/>
          </w:tcPr>
          <w:p w14:paraId="0797BCA3">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显著危险</w:t>
            </w:r>
          </w:p>
        </w:tc>
      </w:tr>
      <w:tr w14:paraId="331100CD">
        <w:tblPrEx>
          <w:tblCellMar>
            <w:top w:w="0" w:type="dxa"/>
            <w:left w:w="108" w:type="dxa"/>
            <w:bottom w:w="0" w:type="dxa"/>
            <w:right w:w="108" w:type="dxa"/>
          </w:tblCellMar>
        </w:tblPrEx>
        <w:trPr>
          <w:trHeight w:val="340" w:hRule="exact"/>
        </w:trPr>
        <w:tc>
          <w:tcPr>
            <w:tcW w:w="1188" w:type="dxa"/>
            <w:vMerge w:val="continue"/>
            <w:tcBorders>
              <w:left w:val="single" w:color="auto" w:sz="4" w:space="0"/>
              <w:right w:val="single" w:color="auto" w:sz="4" w:space="0"/>
            </w:tcBorders>
            <w:noWrap w:val="0"/>
            <w:vAlign w:val="center"/>
          </w:tcPr>
          <w:p w14:paraId="16D592D2">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p>
        </w:tc>
        <w:tc>
          <w:tcPr>
            <w:tcW w:w="2472" w:type="dxa"/>
            <w:tcBorders>
              <w:top w:val="single" w:color="auto" w:sz="4" w:space="0"/>
              <w:left w:val="single" w:color="auto" w:sz="4" w:space="0"/>
              <w:bottom w:val="single" w:color="auto" w:sz="4" w:space="0"/>
              <w:right w:val="single" w:color="auto" w:sz="4" w:space="0"/>
            </w:tcBorders>
            <w:noWrap w:val="0"/>
            <w:vAlign w:val="center"/>
          </w:tcPr>
          <w:p w14:paraId="7A38CBBD">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机械伤害</w:t>
            </w:r>
          </w:p>
        </w:tc>
        <w:tc>
          <w:tcPr>
            <w:tcW w:w="861" w:type="dxa"/>
            <w:tcBorders>
              <w:top w:val="single" w:color="auto" w:sz="4" w:space="0"/>
              <w:left w:val="single" w:color="auto" w:sz="4" w:space="0"/>
              <w:bottom w:val="single" w:color="auto" w:sz="4" w:space="0"/>
              <w:right w:val="single" w:color="auto" w:sz="4" w:space="0"/>
            </w:tcBorders>
            <w:noWrap w:val="0"/>
            <w:vAlign w:val="center"/>
          </w:tcPr>
          <w:p w14:paraId="1C43138D">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1</w:t>
            </w:r>
          </w:p>
        </w:tc>
        <w:tc>
          <w:tcPr>
            <w:tcW w:w="1039" w:type="dxa"/>
            <w:tcBorders>
              <w:top w:val="single" w:color="auto" w:sz="4" w:space="0"/>
              <w:left w:val="single" w:color="auto" w:sz="4" w:space="0"/>
              <w:bottom w:val="single" w:color="auto" w:sz="4" w:space="0"/>
              <w:right w:val="single" w:color="auto" w:sz="4" w:space="0"/>
            </w:tcBorders>
            <w:noWrap w:val="0"/>
            <w:vAlign w:val="center"/>
          </w:tcPr>
          <w:p w14:paraId="32A29B05">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3</w:t>
            </w:r>
          </w:p>
        </w:tc>
        <w:tc>
          <w:tcPr>
            <w:tcW w:w="975" w:type="dxa"/>
            <w:tcBorders>
              <w:top w:val="single" w:color="auto" w:sz="4" w:space="0"/>
              <w:left w:val="single" w:color="auto" w:sz="4" w:space="0"/>
              <w:bottom w:val="single" w:color="auto" w:sz="4" w:space="0"/>
              <w:right w:val="single" w:color="auto" w:sz="4" w:space="0"/>
            </w:tcBorders>
            <w:noWrap w:val="0"/>
            <w:vAlign w:val="center"/>
          </w:tcPr>
          <w:p w14:paraId="043FA6F9">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15</w:t>
            </w:r>
          </w:p>
        </w:tc>
        <w:tc>
          <w:tcPr>
            <w:tcW w:w="932" w:type="dxa"/>
            <w:tcBorders>
              <w:top w:val="single" w:color="auto" w:sz="4" w:space="0"/>
              <w:left w:val="single" w:color="auto" w:sz="4" w:space="0"/>
              <w:bottom w:val="single" w:color="auto" w:sz="4" w:space="0"/>
              <w:right w:val="single" w:color="auto" w:sz="4" w:space="0"/>
            </w:tcBorders>
            <w:noWrap w:val="0"/>
            <w:vAlign w:val="center"/>
          </w:tcPr>
          <w:p w14:paraId="612B1CEE">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45</w:t>
            </w:r>
          </w:p>
        </w:tc>
        <w:tc>
          <w:tcPr>
            <w:tcW w:w="1249" w:type="dxa"/>
            <w:tcBorders>
              <w:top w:val="single" w:color="auto" w:sz="4" w:space="0"/>
              <w:left w:val="single" w:color="auto" w:sz="4" w:space="0"/>
              <w:bottom w:val="single" w:color="auto" w:sz="4" w:space="0"/>
              <w:right w:val="single" w:color="auto" w:sz="4" w:space="0"/>
            </w:tcBorders>
            <w:noWrap w:val="0"/>
            <w:vAlign w:val="center"/>
          </w:tcPr>
          <w:p w14:paraId="385DB780">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可能危险</w:t>
            </w:r>
          </w:p>
        </w:tc>
      </w:tr>
      <w:tr w14:paraId="1F69E8E6">
        <w:tblPrEx>
          <w:tblCellMar>
            <w:top w:w="0" w:type="dxa"/>
            <w:left w:w="108" w:type="dxa"/>
            <w:bottom w:w="0" w:type="dxa"/>
            <w:right w:w="108" w:type="dxa"/>
          </w:tblCellMar>
        </w:tblPrEx>
        <w:trPr>
          <w:trHeight w:val="340" w:hRule="exact"/>
        </w:trPr>
        <w:tc>
          <w:tcPr>
            <w:tcW w:w="1188" w:type="dxa"/>
            <w:vMerge w:val="continue"/>
            <w:tcBorders>
              <w:left w:val="single" w:color="auto" w:sz="4" w:space="0"/>
              <w:right w:val="single" w:color="auto" w:sz="4" w:space="0"/>
            </w:tcBorders>
            <w:noWrap w:val="0"/>
            <w:vAlign w:val="center"/>
          </w:tcPr>
          <w:p w14:paraId="7B2B387F">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p>
        </w:tc>
        <w:tc>
          <w:tcPr>
            <w:tcW w:w="2472" w:type="dxa"/>
            <w:tcBorders>
              <w:top w:val="single" w:color="auto" w:sz="4" w:space="0"/>
              <w:left w:val="single" w:color="auto" w:sz="4" w:space="0"/>
              <w:bottom w:val="single" w:color="auto" w:sz="4" w:space="0"/>
              <w:right w:val="single" w:color="auto" w:sz="4" w:space="0"/>
            </w:tcBorders>
            <w:noWrap w:val="0"/>
            <w:vAlign w:val="center"/>
          </w:tcPr>
          <w:p w14:paraId="6AFD5830">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物体打击</w:t>
            </w:r>
          </w:p>
        </w:tc>
        <w:tc>
          <w:tcPr>
            <w:tcW w:w="861" w:type="dxa"/>
            <w:tcBorders>
              <w:top w:val="single" w:color="auto" w:sz="4" w:space="0"/>
              <w:left w:val="single" w:color="auto" w:sz="4" w:space="0"/>
              <w:bottom w:val="single" w:color="auto" w:sz="4" w:space="0"/>
              <w:right w:val="single" w:color="auto" w:sz="4" w:space="0"/>
            </w:tcBorders>
            <w:noWrap w:val="0"/>
            <w:vAlign w:val="center"/>
          </w:tcPr>
          <w:p w14:paraId="781AF083">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1</w:t>
            </w:r>
          </w:p>
        </w:tc>
        <w:tc>
          <w:tcPr>
            <w:tcW w:w="1039" w:type="dxa"/>
            <w:tcBorders>
              <w:top w:val="single" w:color="auto" w:sz="4" w:space="0"/>
              <w:left w:val="single" w:color="auto" w:sz="4" w:space="0"/>
              <w:bottom w:val="single" w:color="auto" w:sz="4" w:space="0"/>
              <w:right w:val="single" w:color="auto" w:sz="4" w:space="0"/>
            </w:tcBorders>
            <w:noWrap w:val="0"/>
            <w:vAlign w:val="center"/>
          </w:tcPr>
          <w:p w14:paraId="7AF30ACF">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3</w:t>
            </w:r>
          </w:p>
        </w:tc>
        <w:tc>
          <w:tcPr>
            <w:tcW w:w="975" w:type="dxa"/>
            <w:tcBorders>
              <w:top w:val="single" w:color="auto" w:sz="4" w:space="0"/>
              <w:left w:val="single" w:color="auto" w:sz="4" w:space="0"/>
              <w:bottom w:val="single" w:color="auto" w:sz="4" w:space="0"/>
              <w:right w:val="single" w:color="auto" w:sz="4" w:space="0"/>
            </w:tcBorders>
            <w:noWrap w:val="0"/>
            <w:vAlign w:val="center"/>
          </w:tcPr>
          <w:p w14:paraId="2EA57369">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15</w:t>
            </w:r>
          </w:p>
        </w:tc>
        <w:tc>
          <w:tcPr>
            <w:tcW w:w="932" w:type="dxa"/>
            <w:tcBorders>
              <w:top w:val="single" w:color="auto" w:sz="4" w:space="0"/>
              <w:left w:val="single" w:color="auto" w:sz="4" w:space="0"/>
              <w:bottom w:val="single" w:color="auto" w:sz="4" w:space="0"/>
              <w:right w:val="single" w:color="auto" w:sz="4" w:space="0"/>
            </w:tcBorders>
            <w:noWrap w:val="0"/>
            <w:vAlign w:val="center"/>
          </w:tcPr>
          <w:p w14:paraId="52BD3088">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45</w:t>
            </w:r>
          </w:p>
        </w:tc>
        <w:tc>
          <w:tcPr>
            <w:tcW w:w="1249" w:type="dxa"/>
            <w:tcBorders>
              <w:top w:val="single" w:color="auto" w:sz="4" w:space="0"/>
              <w:left w:val="single" w:color="auto" w:sz="4" w:space="0"/>
              <w:bottom w:val="single" w:color="auto" w:sz="4" w:space="0"/>
              <w:right w:val="single" w:color="auto" w:sz="4" w:space="0"/>
            </w:tcBorders>
            <w:noWrap w:val="0"/>
            <w:vAlign w:val="center"/>
          </w:tcPr>
          <w:p w14:paraId="7621D37F">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可能危险</w:t>
            </w:r>
          </w:p>
        </w:tc>
      </w:tr>
      <w:tr w14:paraId="2D45389C">
        <w:tblPrEx>
          <w:tblCellMar>
            <w:top w:w="0" w:type="dxa"/>
            <w:left w:w="108" w:type="dxa"/>
            <w:bottom w:w="0" w:type="dxa"/>
            <w:right w:w="108" w:type="dxa"/>
          </w:tblCellMar>
        </w:tblPrEx>
        <w:trPr>
          <w:trHeight w:val="340" w:hRule="exact"/>
        </w:trPr>
        <w:tc>
          <w:tcPr>
            <w:tcW w:w="1188" w:type="dxa"/>
            <w:vMerge w:val="continue"/>
            <w:tcBorders>
              <w:left w:val="single" w:color="auto" w:sz="4" w:space="0"/>
              <w:right w:val="single" w:color="auto" w:sz="4" w:space="0"/>
            </w:tcBorders>
            <w:noWrap w:val="0"/>
            <w:vAlign w:val="center"/>
          </w:tcPr>
          <w:p w14:paraId="6C63024C">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p>
        </w:tc>
        <w:tc>
          <w:tcPr>
            <w:tcW w:w="2472" w:type="dxa"/>
            <w:tcBorders>
              <w:top w:val="single" w:color="auto" w:sz="4" w:space="0"/>
              <w:left w:val="single" w:color="auto" w:sz="4" w:space="0"/>
              <w:bottom w:val="single" w:color="auto" w:sz="4" w:space="0"/>
              <w:right w:val="single" w:color="auto" w:sz="4" w:space="0"/>
            </w:tcBorders>
            <w:noWrap w:val="0"/>
            <w:vAlign w:val="center"/>
          </w:tcPr>
          <w:p w14:paraId="3BD6259A">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eastAsia" w:ascii="Times New Roman" w:hAnsi="宋体" w:eastAsia="宋体" w:cs="Times New Roman"/>
                <w:color w:val="auto"/>
                <w:kern w:val="0"/>
                <w:sz w:val="21"/>
                <w:szCs w:val="21"/>
                <w:lang w:val="en-US" w:eastAsia="zh-CN" w:bidi="ar-SA"/>
              </w:rPr>
            </w:pPr>
            <w:r>
              <w:rPr>
                <w:rFonts w:hAnsi="宋体"/>
                <w:bCs/>
                <w:color w:val="auto"/>
                <w:sz w:val="21"/>
                <w:szCs w:val="21"/>
              </w:rPr>
              <w:t>雷击</w:t>
            </w:r>
          </w:p>
        </w:tc>
        <w:tc>
          <w:tcPr>
            <w:tcW w:w="861" w:type="dxa"/>
            <w:tcBorders>
              <w:top w:val="single" w:color="auto" w:sz="4" w:space="0"/>
              <w:left w:val="single" w:color="auto" w:sz="4" w:space="0"/>
              <w:bottom w:val="single" w:color="auto" w:sz="4" w:space="0"/>
              <w:right w:val="single" w:color="auto" w:sz="4" w:space="0"/>
            </w:tcBorders>
            <w:noWrap w:val="0"/>
            <w:vAlign w:val="center"/>
          </w:tcPr>
          <w:p w14:paraId="1EFE3C88">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1</w:t>
            </w:r>
          </w:p>
        </w:tc>
        <w:tc>
          <w:tcPr>
            <w:tcW w:w="1039" w:type="dxa"/>
            <w:tcBorders>
              <w:top w:val="single" w:color="auto" w:sz="4" w:space="0"/>
              <w:left w:val="single" w:color="auto" w:sz="4" w:space="0"/>
              <w:bottom w:val="single" w:color="auto" w:sz="4" w:space="0"/>
              <w:right w:val="single" w:color="auto" w:sz="4" w:space="0"/>
            </w:tcBorders>
            <w:noWrap w:val="0"/>
            <w:vAlign w:val="center"/>
          </w:tcPr>
          <w:p w14:paraId="13A2B952">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3</w:t>
            </w:r>
          </w:p>
        </w:tc>
        <w:tc>
          <w:tcPr>
            <w:tcW w:w="975" w:type="dxa"/>
            <w:tcBorders>
              <w:top w:val="single" w:color="auto" w:sz="4" w:space="0"/>
              <w:left w:val="single" w:color="auto" w:sz="4" w:space="0"/>
              <w:bottom w:val="single" w:color="auto" w:sz="4" w:space="0"/>
              <w:right w:val="single" w:color="auto" w:sz="4" w:space="0"/>
            </w:tcBorders>
            <w:noWrap w:val="0"/>
            <w:vAlign w:val="center"/>
          </w:tcPr>
          <w:p w14:paraId="7BD55239">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15</w:t>
            </w:r>
          </w:p>
        </w:tc>
        <w:tc>
          <w:tcPr>
            <w:tcW w:w="932" w:type="dxa"/>
            <w:tcBorders>
              <w:top w:val="single" w:color="auto" w:sz="4" w:space="0"/>
              <w:left w:val="single" w:color="auto" w:sz="4" w:space="0"/>
              <w:bottom w:val="single" w:color="auto" w:sz="4" w:space="0"/>
              <w:right w:val="single" w:color="auto" w:sz="4" w:space="0"/>
            </w:tcBorders>
            <w:noWrap w:val="0"/>
            <w:vAlign w:val="center"/>
          </w:tcPr>
          <w:p w14:paraId="54A6477D">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45</w:t>
            </w:r>
          </w:p>
        </w:tc>
        <w:tc>
          <w:tcPr>
            <w:tcW w:w="1249" w:type="dxa"/>
            <w:tcBorders>
              <w:top w:val="single" w:color="auto" w:sz="4" w:space="0"/>
              <w:left w:val="single" w:color="auto" w:sz="4" w:space="0"/>
              <w:bottom w:val="single" w:color="auto" w:sz="4" w:space="0"/>
              <w:right w:val="single" w:color="auto" w:sz="4" w:space="0"/>
            </w:tcBorders>
            <w:noWrap w:val="0"/>
            <w:vAlign w:val="center"/>
          </w:tcPr>
          <w:p w14:paraId="5FB24E13">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可能危险</w:t>
            </w:r>
          </w:p>
        </w:tc>
      </w:tr>
      <w:tr w14:paraId="2F41DC9E">
        <w:tblPrEx>
          <w:tblCellMar>
            <w:top w:w="0" w:type="dxa"/>
            <w:left w:w="108" w:type="dxa"/>
            <w:bottom w:w="0" w:type="dxa"/>
            <w:right w:w="108" w:type="dxa"/>
          </w:tblCellMar>
        </w:tblPrEx>
        <w:trPr>
          <w:trHeight w:val="340" w:hRule="exact"/>
        </w:trPr>
        <w:tc>
          <w:tcPr>
            <w:tcW w:w="1188" w:type="dxa"/>
            <w:vMerge w:val="continue"/>
            <w:tcBorders>
              <w:left w:val="single" w:color="auto" w:sz="4" w:space="0"/>
              <w:bottom w:val="single" w:color="auto" w:sz="4" w:space="0"/>
              <w:right w:val="single" w:color="auto" w:sz="4" w:space="0"/>
            </w:tcBorders>
            <w:noWrap w:val="0"/>
            <w:vAlign w:val="center"/>
          </w:tcPr>
          <w:p w14:paraId="36870493">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default" w:ascii="Times New Roman" w:hAnsi="宋体" w:eastAsia="宋体" w:cs="Times New Roman"/>
                <w:color w:val="auto"/>
                <w:kern w:val="0"/>
                <w:sz w:val="21"/>
                <w:szCs w:val="21"/>
                <w:lang w:val="en-US" w:eastAsia="zh-CN" w:bidi="ar-SA"/>
              </w:rPr>
            </w:pPr>
          </w:p>
        </w:tc>
        <w:tc>
          <w:tcPr>
            <w:tcW w:w="2472" w:type="dxa"/>
            <w:tcBorders>
              <w:top w:val="single" w:color="auto" w:sz="4" w:space="0"/>
              <w:left w:val="single" w:color="auto" w:sz="4" w:space="0"/>
              <w:bottom w:val="single" w:color="auto" w:sz="4" w:space="0"/>
              <w:right w:val="single" w:color="auto" w:sz="4" w:space="0"/>
            </w:tcBorders>
            <w:noWrap w:val="0"/>
            <w:vAlign w:val="center"/>
          </w:tcPr>
          <w:p w14:paraId="2FA91DF9">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火灾</w:t>
            </w:r>
          </w:p>
        </w:tc>
        <w:tc>
          <w:tcPr>
            <w:tcW w:w="861" w:type="dxa"/>
            <w:tcBorders>
              <w:top w:val="single" w:color="auto" w:sz="4" w:space="0"/>
              <w:left w:val="single" w:color="auto" w:sz="4" w:space="0"/>
              <w:bottom w:val="single" w:color="auto" w:sz="4" w:space="0"/>
              <w:right w:val="single" w:color="auto" w:sz="4" w:space="0"/>
            </w:tcBorders>
            <w:noWrap w:val="0"/>
            <w:vAlign w:val="center"/>
          </w:tcPr>
          <w:p w14:paraId="6B6EAD8C">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1</w:t>
            </w:r>
          </w:p>
        </w:tc>
        <w:tc>
          <w:tcPr>
            <w:tcW w:w="1039" w:type="dxa"/>
            <w:tcBorders>
              <w:top w:val="single" w:color="auto" w:sz="4" w:space="0"/>
              <w:left w:val="single" w:color="auto" w:sz="4" w:space="0"/>
              <w:bottom w:val="single" w:color="auto" w:sz="4" w:space="0"/>
              <w:right w:val="single" w:color="auto" w:sz="4" w:space="0"/>
            </w:tcBorders>
            <w:noWrap w:val="0"/>
            <w:vAlign w:val="center"/>
          </w:tcPr>
          <w:p w14:paraId="2B095F9B">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6</w:t>
            </w:r>
          </w:p>
        </w:tc>
        <w:tc>
          <w:tcPr>
            <w:tcW w:w="975" w:type="dxa"/>
            <w:tcBorders>
              <w:top w:val="single" w:color="auto" w:sz="4" w:space="0"/>
              <w:left w:val="single" w:color="auto" w:sz="4" w:space="0"/>
              <w:bottom w:val="single" w:color="auto" w:sz="4" w:space="0"/>
              <w:right w:val="single" w:color="auto" w:sz="4" w:space="0"/>
            </w:tcBorders>
            <w:noWrap w:val="0"/>
            <w:vAlign w:val="center"/>
          </w:tcPr>
          <w:p w14:paraId="0782CF42">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7</w:t>
            </w:r>
          </w:p>
        </w:tc>
        <w:tc>
          <w:tcPr>
            <w:tcW w:w="932" w:type="dxa"/>
            <w:tcBorders>
              <w:top w:val="single" w:color="auto" w:sz="4" w:space="0"/>
              <w:left w:val="single" w:color="auto" w:sz="4" w:space="0"/>
              <w:bottom w:val="single" w:color="auto" w:sz="4" w:space="0"/>
              <w:right w:val="single" w:color="auto" w:sz="4" w:space="0"/>
            </w:tcBorders>
            <w:noWrap w:val="0"/>
            <w:vAlign w:val="center"/>
          </w:tcPr>
          <w:p w14:paraId="0B964B40">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42</w:t>
            </w:r>
          </w:p>
        </w:tc>
        <w:tc>
          <w:tcPr>
            <w:tcW w:w="1249" w:type="dxa"/>
            <w:tcBorders>
              <w:top w:val="single" w:color="auto" w:sz="4" w:space="0"/>
              <w:left w:val="single" w:color="auto" w:sz="4" w:space="0"/>
              <w:bottom w:val="single" w:color="auto" w:sz="4" w:space="0"/>
              <w:right w:val="single" w:color="auto" w:sz="4" w:space="0"/>
            </w:tcBorders>
            <w:noWrap w:val="0"/>
            <w:vAlign w:val="center"/>
          </w:tcPr>
          <w:p w14:paraId="2CF27592">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可能危险</w:t>
            </w:r>
          </w:p>
        </w:tc>
      </w:tr>
      <w:tr w14:paraId="7F64F120">
        <w:tblPrEx>
          <w:tblCellMar>
            <w:top w:w="0" w:type="dxa"/>
            <w:left w:w="108" w:type="dxa"/>
            <w:bottom w:w="0" w:type="dxa"/>
            <w:right w:w="108" w:type="dxa"/>
          </w:tblCellMar>
        </w:tblPrEx>
        <w:trPr>
          <w:trHeight w:val="340" w:hRule="exact"/>
        </w:trPr>
        <w:tc>
          <w:tcPr>
            <w:tcW w:w="1188" w:type="dxa"/>
            <w:vMerge w:val="restart"/>
            <w:tcBorders>
              <w:top w:val="single" w:color="auto" w:sz="4" w:space="0"/>
              <w:left w:val="single" w:color="auto" w:sz="4" w:space="0"/>
              <w:right w:val="single" w:color="auto" w:sz="4" w:space="0"/>
            </w:tcBorders>
            <w:noWrap w:val="0"/>
            <w:vAlign w:val="center"/>
          </w:tcPr>
          <w:p w14:paraId="7FE7F989">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电气作业</w:t>
            </w:r>
          </w:p>
        </w:tc>
        <w:tc>
          <w:tcPr>
            <w:tcW w:w="2472" w:type="dxa"/>
            <w:tcBorders>
              <w:top w:val="single" w:color="auto" w:sz="4" w:space="0"/>
              <w:left w:val="single" w:color="auto" w:sz="4" w:space="0"/>
              <w:bottom w:val="single" w:color="auto" w:sz="4" w:space="0"/>
              <w:right w:val="single" w:color="auto" w:sz="4" w:space="0"/>
            </w:tcBorders>
            <w:noWrap w:val="0"/>
            <w:vAlign w:val="center"/>
          </w:tcPr>
          <w:p w14:paraId="2B875D11">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触电</w:t>
            </w:r>
          </w:p>
        </w:tc>
        <w:tc>
          <w:tcPr>
            <w:tcW w:w="861" w:type="dxa"/>
            <w:tcBorders>
              <w:top w:val="single" w:color="auto" w:sz="4" w:space="0"/>
              <w:left w:val="single" w:color="auto" w:sz="4" w:space="0"/>
              <w:bottom w:val="single" w:color="auto" w:sz="4" w:space="0"/>
              <w:right w:val="single" w:color="auto" w:sz="4" w:space="0"/>
            </w:tcBorders>
            <w:noWrap w:val="0"/>
            <w:vAlign w:val="center"/>
          </w:tcPr>
          <w:p w14:paraId="49A371DD">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1</w:t>
            </w:r>
          </w:p>
        </w:tc>
        <w:tc>
          <w:tcPr>
            <w:tcW w:w="1039" w:type="dxa"/>
            <w:tcBorders>
              <w:top w:val="single" w:color="auto" w:sz="4" w:space="0"/>
              <w:left w:val="single" w:color="auto" w:sz="4" w:space="0"/>
              <w:bottom w:val="single" w:color="auto" w:sz="4" w:space="0"/>
              <w:right w:val="single" w:color="auto" w:sz="4" w:space="0"/>
            </w:tcBorders>
            <w:noWrap w:val="0"/>
            <w:vAlign w:val="center"/>
          </w:tcPr>
          <w:p w14:paraId="1F849213">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3</w:t>
            </w:r>
          </w:p>
        </w:tc>
        <w:tc>
          <w:tcPr>
            <w:tcW w:w="975" w:type="dxa"/>
            <w:tcBorders>
              <w:top w:val="single" w:color="auto" w:sz="4" w:space="0"/>
              <w:left w:val="single" w:color="auto" w:sz="4" w:space="0"/>
              <w:bottom w:val="single" w:color="auto" w:sz="4" w:space="0"/>
              <w:right w:val="single" w:color="auto" w:sz="4" w:space="0"/>
            </w:tcBorders>
            <w:noWrap w:val="0"/>
            <w:vAlign w:val="center"/>
          </w:tcPr>
          <w:p w14:paraId="07EAF7CA">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40</w:t>
            </w:r>
          </w:p>
        </w:tc>
        <w:tc>
          <w:tcPr>
            <w:tcW w:w="932" w:type="dxa"/>
            <w:tcBorders>
              <w:top w:val="single" w:color="auto" w:sz="4" w:space="0"/>
              <w:left w:val="single" w:color="auto" w:sz="4" w:space="0"/>
              <w:bottom w:val="single" w:color="auto" w:sz="4" w:space="0"/>
              <w:right w:val="single" w:color="auto" w:sz="4" w:space="0"/>
            </w:tcBorders>
            <w:noWrap w:val="0"/>
            <w:vAlign w:val="center"/>
          </w:tcPr>
          <w:p w14:paraId="5C02D829">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120</w:t>
            </w:r>
          </w:p>
        </w:tc>
        <w:tc>
          <w:tcPr>
            <w:tcW w:w="1249" w:type="dxa"/>
            <w:tcBorders>
              <w:top w:val="single" w:color="auto" w:sz="4" w:space="0"/>
              <w:left w:val="single" w:color="auto" w:sz="4" w:space="0"/>
              <w:bottom w:val="single" w:color="auto" w:sz="4" w:space="0"/>
              <w:right w:val="single" w:color="auto" w:sz="4" w:space="0"/>
            </w:tcBorders>
            <w:noWrap w:val="0"/>
            <w:vAlign w:val="center"/>
          </w:tcPr>
          <w:p w14:paraId="41C1CE98">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显著危险</w:t>
            </w:r>
          </w:p>
        </w:tc>
      </w:tr>
      <w:tr w14:paraId="77037FB5">
        <w:tblPrEx>
          <w:tblCellMar>
            <w:top w:w="0" w:type="dxa"/>
            <w:left w:w="108" w:type="dxa"/>
            <w:bottom w:w="0" w:type="dxa"/>
            <w:right w:w="108" w:type="dxa"/>
          </w:tblCellMar>
        </w:tblPrEx>
        <w:trPr>
          <w:trHeight w:val="340" w:hRule="exact"/>
        </w:trPr>
        <w:tc>
          <w:tcPr>
            <w:tcW w:w="1188" w:type="dxa"/>
            <w:vMerge w:val="continue"/>
            <w:tcBorders>
              <w:left w:val="single" w:color="auto" w:sz="4" w:space="0"/>
              <w:right w:val="single" w:color="auto" w:sz="4" w:space="0"/>
            </w:tcBorders>
            <w:noWrap w:val="0"/>
            <w:vAlign w:val="center"/>
          </w:tcPr>
          <w:p w14:paraId="6E2C72F8">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p>
        </w:tc>
        <w:tc>
          <w:tcPr>
            <w:tcW w:w="2472" w:type="dxa"/>
            <w:tcBorders>
              <w:top w:val="single" w:color="auto" w:sz="4" w:space="0"/>
              <w:left w:val="single" w:color="auto" w:sz="4" w:space="0"/>
              <w:bottom w:val="single" w:color="auto" w:sz="4" w:space="0"/>
              <w:right w:val="single" w:color="auto" w:sz="4" w:space="0"/>
            </w:tcBorders>
            <w:noWrap w:val="0"/>
            <w:vAlign w:val="center"/>
          </w:tcPr>
          <w:p w14:paraId="2DF5359E">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Ansi="宋体"/>
                <w:bCs/>
                <w:color w:val="auto"/>
                <w:sz w:val="21"/>
                <w:szCs w:val="21"/>
              </w:rPr>
              <w:t>雷击</w:t>
            </w:r>
          </w:p>
        </w:tc>
        <w:tc>
          <w:tcPr>
            <w:tcW w:w="861" w:type="dxa"/>
            <w:tcBorders>
              <w:top w:val="single" w:color="auto" w:sz="4" w:space="0"/>
              <w:left w:val="single" w:color="auto" w:sz="4" w:space="0"/>
              <w:bottom w:val="single" w:color="auto" w:sz="4" w:space="0"/>
              <w:right w:val="single" w:color="auto" w:sz="4" w:space="0"/>
            </w:tcBorders>
            <w:noWrap w:val="0"/>
            <w:vAlign w:val="center"/>
          </w:tcPr>
          <w:p w14:paraId="519A7A81">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1</w:t>
            </w:r>
          </w:p>
        </w:tc>
        <w:tc>
          <w:tcPr>
            <w:tcW w:w="1039" w:type="dxa"/>
            <w:tcBorders>
              <w:top w:val="single" w:color="auto" w:sz="4" w:space="0"/>
              <w:left w:val="single" w:color="auto" w:sz="4" w:space="0"/>
              <w:bottom w:val="single" w:color="auto" w:sz="4" w:space="0"/>
              <w:right w:val="single" w:color="auto" w:sz="4" w:space="0"/>
            </w:tcBorders>
            <w:noWrap w:val="0"/>
            <w:vAlign w:val="center"/>
          </w:tcPr>
          <w:p w14:paraId="721DCF75">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3</w:t>
            </w:r>
          </w:p>
        </w:tc>
        <w:tc>
          <w:tcPr>
            <w:tcW w:w="975" w:type="dxa"/>
            <w:tcBorders>
              <w:top w:val="single" w:color="auto" w:sz="4" w:space="0"/>
              <w:left w:val="single" w:color="auto" w:sz="4" w:space="0"/>
              <w:bottom w:val="single" w:color="auto" w:sz="4" w:space="0"/>
              <w:right w:val="single" w:color="auto" w:sz="4" w:space="0"/>
            </w:tcBorders>
            <w:noWrap w:val="0"/>
            <w:vAlign w:val="center"/>
          </w:tcPr>
          <w:p w14:paraId="19F22EF2">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15</w:t>
            </w:r>
          </w:p>
        </w:tc>
        <w:tc>
          <w:tcPr>
            <w:tcW w:w="932" w:type="dxa"/>
            <w:tcBorders>
              <w:top w:val="single" w:color="auto" w:sz="4" w:space="0"/>
              <w:left w:val="single" w:color="auto" w:sz="4" w:space="0"/>
              <w:bottom w:val="single" w:color="auto" w:sz="4" w:space="0"/>
              <w:right w:val="single" w:color="auto" w:sz="4" w:space="0"/>
            </w:tcBorders>
            <w:noWrap w:val="0"/>
            <w:vAlign w:val="center"/>
          </w:tcPr>
          <w:p w14:paraId="115AD72E">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45</w:t>
            </w:r>
          </w:p>
        </w:tc>
        <w:tc>
          <w:tcPr>
            <w:tcW w:w="1249" w:type="dxa"/>
            <w:tcBorders>
              <w:top w:val="single" w:color="auto" w:sz="4" w:space="0"/>
              <w:left w:val="single" w:color="auto" w:sz="4" w:space="0"/>
              <w:bottom w:val="single" w:color="auto" w:sz="4" w:space="0"/>
              <w:right w:val="single" w:color="auto" w:sz="4" w:space="0"/>
            </w:tcBorders>
            <w:noWrap w:val="0"/>
            <w:vAlign w:val="center"/>
          </w:tcPr>
          <w:p w14:paraId="54944852">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可能危险</w:t>
            </w:r>
          </w:p>
        </w:tc>
      </w:tr>
      <w:tr w14:paraId="1E95AC08">
        <w:tblPrEx>
          <w:tblCellMar>
            <w:top w:w="0" w:type="dxa"/>
            <w:left w:w="108" w:type="dxa"/>
            <w:bottom w:w="0" w:type="dxa"/>
            <w:right w:w="108" w:type="dxa"/>
          </w:tblCellMar>
        </w:tblPrEx>
        <w:trPr>
          <w:trHeight w:val="340" w:hRule="exact"/>
        </w:trPr>
        <w:tc>
          <w:tcPr>
            <w:tcW w:w="1188" w:type="dxa"/>
            <w:vMerge w:val="continue"/>
            <w:tcBorders>
              <w:left w:val="single" w:color="auto" w:sz="4" w:space="0"/>
              <w:bottom w:val="single" w:color="auto" w:sz="4" w:space="0"/>
              <w:right w:val="single" w:color="auto" w:sz="4" w:space="0"/>
            </w:tcBorders>
            <w:noWrap w:val="0"/>
            <w:vAlign w:val="center"/>
          </w:tcPr>
          <w:p w14:paraId="0CAB1006">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p>
        </w:tc>
        <w:tc>
          <w:tcPr>
            <w:tcW w:w="2472" w:type="dxa"/>
            <w:tcBorders>
              <w:top w:val="single" w:color="auto" w:sz="4" w:space="0"/>
              <w:left w:val="single" w:color="auto" w:sz="4" w:space="0"/>
              <w:bottom w:val="single" w:color="auto" w:sz="4" w:space="0"/>
              <w:right w:val="single" w:color="auto" w:sz="4" w:space="0"/>
            </w:tcBorders>
            <w:noWrap w:val="0"/>
            <w:vAlign w:val="center"/>
          </w:tcPr>
          <w:p w14:paraId="68F39B66">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火灾</w:t>
            </w:r>
          </w:p>
        </w:tc>
        <w:tc>
          <w:tcPr>
            <w:tcW w:w="861" w:type="dxa"/>
            <w:tcBorders>
              <w:top w:val="single" w:color="auto" w:sz="4" w:space="0"/>
              <w:left w:val="single" w:color="auto" w:sz="4" w:space="0"/>
              <w:bottom w:val="single" w:color="auto" w:sz="4" w:space="0"/>
              <w:right w:val="single" w:color="auto" w:sz="4" w:space="0"/>
            </w:tcBorders>
            <w:noWrap w:val="0"/>
            <w:vAlign w:val="center"/>
          </w:tcPr>
          <w:p w14:paraId="5E4122B0">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1</w:t>
            </w:r>
          </w:p>
        </w:tc>
        <w:tc>
          <w:tcPr>
            <w:tcW w:w="1039" w:type="dxa"/>
            <w:tcBorders>
              <w:top w:val="single" w:color="auto" w:sz="4" w:space="0"/>
              <w:left w:val="single" w:color="auto" w:sz="4" w:space="0"/>
              <w:bottom w:val="single" w:color="auto" w:sz="4" w:space="0"/>
              <w:right w:val="single" w:color="auto" w:sz="4" w:space="0"/>
            </w:tcBorders>
            <w:noWrap w:val="0"/>
            <w:vAlign w:val="center"/>
          </w:tcPr>
          <w:p w14:paraId="38645AD2">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3</w:t>
            </w:r>
          </w:p>
        </w:tc>
        <w:tc>
          <w:tcPr>
            <w:tcW w:w="975" w:type="dxa"/>
            <w:tcBorders>
              <w:top w:val="single" w:color="auto" w:sz="4" w:space="0"/>
              <w:left w:val="single" w:color="auto" w:sz="4" w:space="0"/>
              <w:bottom w:val="single" w:color="auto" w:sz="4" w:space="0"/>
              <w:right w:val="single" w:color="auto" w:sz="4" w:space="0"/>
            </w:tcBorders>
            <w:noWrap w:val="0"/>
            <w:vAlign w:val="center"/>
          </w:tcPr>
          <w:p w14:paraId="68E4B030">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20</w:t>
            </w:r>
          </w:p>
        </w:tc>
        <w:tc>
          <w:tcPr>
            <w:tcW w:w="932" w:type="dxa"/>
            <w:tcBorders>
              <w:top w:val="single" w:color="auto" w:sz="4" w:space="0"/>
              <w:left w:val="single" w:color="auto" w:sz="4" w:space="0"/>
              <w:bottom w:val="single" w:color="auto" w:sz="4" w:space="0"/>
              <w:right w:val="single" w:color="auto" w:sz="4" w:space="0"/>
            </w:tcBorders>
            <w:noWrap w:val="0"/>
            <w:vAlign w:val="center"/>
          </w:tcPr>
          <w:p w14:paraId="676303F0">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60</w:t>
            </w:r>
          </w:p>
        </w:tc>
        <w:tc>
          <w:tcPr>
            <w:tcW w:w="1249" w:type="dxa"/>
            <w:tcBorders>
              <w:top w:val="single" w:color="auto" w:sz="4" w:space="0"/>
              <w:left w:val="single" w:color="auto" w:sz="4" w:space="0"/>
              <w:bottom w:val="single" w:color="auto" w:sz="4" w:space="0"/>
              <w:right w:val="single" w:color="auto" w:sz="4" w:space="0"/>
            </w:tcBorders>
            <w:noWrap w:val="0"/>
            <w:vAlign w:val="center"/>
          </w:tcPr>
          <w:p w14:paraId="7E17142A">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可能危险</w:t>
            </w:r>
          </w:p>
        </w:tc>
      </w:tr>
      <w:tr w14:paraId="03295CC7">
        <w:tblPrEx>
          <w:tblCellMar>
            <w:top w:w="0" w:type="dxa"/>
            <w:left w:w="108" w:type="dxa"/>
            <w:bottom w:w="0" w:type="dxa"/>
            <w:right w:w="108" w:type="dxa"/>
          </w:tblCellMar>
        </w:tblPrEx>
        <w:trPr>
          <w:trHeight w:val="340" w:hRule="exact"/>
        </w:trPr>
        <w:tc>
          <w:tcPr>
            <w:tcW w:w="1188" w:type="dxa"/>
            <w:tcBorders>
              <w:top w:val="single" w:color="auto" w:sz="4" w:space="0"/>
              <w:left w:val="single" w:color="auto" w:sz="4" w:space="0"/>
              <w:bottom w:val="single" w:color="auto" w:sz="4" w:space="0"/>
              <w:right w:val="single" w:color="auto" w:sz="4" w:space="0"/>
            </w:tcBorders>
            <w:noWrap w:val="0"/>
            <w:vAlign w:val="center"/>
          </w:tcPr>
          <w:p w14:paraId="6494099D">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洒水防尘作业</w:t>
            </w:r>
          </w:p>
        </w:tc>
        <w:tc>
          <w:tcPr>
            <w:tcW w:w="2472" w:type="dxa"/>
            <w:tcBorders>
              <w:top w:val="single" w:color="auto" w:sz="4" w:space="0"/>
              <w:left w:val="single" w:color="auto" w:sz="4" w:space="0"/>
              <w:bottom w:val="single" w:color="auto" w:sz="4" w:space="0"/>
              <w:right w:val="single" w:color="auto" w:sz="4" w:space="0"/>
            </w:tcBorders>
            <w:noWrap w:val="0"/>
            <w:vAlign w:val="center"/>
          </w:tcPr>
          <w:p w14:paraId="08A02516">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车辆伤害</w:t>
            </w:r>
          </w:p>
        </w:tc>
        <w:tc>
          <w:tcPr>
            <w:tcW w:w="861" w:type="dxa"/>
            <w:tcBorders>
              <w:top w:val="single" w:color="auto" w:sz="4" w:space="0"/>
              <w:left w:val="single" w:color="auto" w:sz="4" w:space="0"/>
              <w:bottom w:val="single" w:color="auto" w:sz="4" w:space="0"/>
              <w:right w:val="single" w:color="auto" w:sz="4" w:space="0"/>
            </w:tcBorders>
            <w:noWrap w:val="0"/>
            <w:vAlign w:val="center"/>
          </w:tcPr>
          <w:p w14:paraId="6C4FC3AC">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1</w:t>
            </w:r>
          </w:p>
        </w:tc>
        <w:tc>
          <w:tcPr>
            <w:tcW w:w="1039" w:type="dxa"/>
            <w:tcBorders>
              <w:top w:val="single" w:color="auto" w:sz="4" w:space="0"/>
              <w:left w:val="single" w:color="auto" w:sz="4" w:space="0"/>
              <w:bottom w:val="single" w:color="auto" w:sz="4" w:space="0"/>
              <w:right w:val="single" w:color="auto" w:sz="4" w:space="0"/>
            </w:tcBorders>
            <w:noWrap w:val="0"/>
            <w:vAlign w:val="center"/>
          </w:tcPr>
          <w:p w14:paraId="419D5BBA">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6</w:t>
            </w:r>
          </w:p>
        </w:tc>
        <w:tc>
          <w:tcPr>
            <w:tcW w:w="975" w:type="dxa"/>
            <w:tcBorders>
              <w:top w:val="single" w:color="auto" w:sz="4" w:space="0"/>
              <w:left w:val="single" w:color="auto" w:sz="4" w:space="0"/>
              <w:bottom w:val="single" w:color="auto" w:sz="4" w:space="0"/>
              <w:right w:val="single" w:color="auto" w:sz="4" w:space="0"/>
            </w:tcBorders>
            <w:noWrap w:val="0"/>
            <w:vAlign w:val="center"/>
          </w:tcPr>
          <w:p w14:paraId="685D4E22">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7</w:t>
            </w:r>
          </w:p>
        </w:tc>
        <w:tc>
          <w:tcPr>
            <w:tcW w:w="932" w:type="dxa"/>
            <w:tcBorders>
              <w:top w:val="single" w:color="auto" w:sz="4" w:space="0"/>
              <w:left w:val="single" w:color="auto" w:sz="4" w:space="0"/>
              <w:bottom w:val="single" w:color="auto" w:sz="4" w:space="0"/>
              <w:right w:val="single" w:color="auto" w:sz="4" w:space="0"/>
            </w:tcBorders>
            <w:noWrap w:val="0"/>
            <w:vAlign w:val="center"/>
          </w:tcPr>
          <w:p w14:paraId="3FBF6FF6">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42</w:t>
            </w:r>
          </w:p>
        </w:tc>
        <w:tc>
          <w:tcPr>
            <w:tcW w:w="1249" w:type="dxa"/>
            <w:tcBorders>
              <w:top w:val="single" w:color="auto" w:sz="4" w:space="0"/>
              <w:left w:val="single" w:color="auto" w:sz="4" w:space="0"/>
              <w:bottom w:val="single" w:color="auto" w:sz="4" w:space="0"/>
              <w:right w:val="single" w:color="auto" w:sz="4" w:space="0"/>
            </w:tcBorders>
            <w:noWrap w:val="0"/>
            <w:vAlign w:val="center"/>
          </w:tcPr>
          <w:p w14:paraId="5B9EA4DE">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可能危险</w:t>
            </w:r>
          </w:p>
        </w:tc>
      </w:tr>
    </w:tbl>
    <w:p w14:paraId="627978FD">
      <w:pPr>
        <w:rPr>
          <w:rFonts w:hint="default"/>
          <w:color w:val="auto"/>
          <w:lang w:val="en-US" w:eastAsia="zh-CN"/>
        </w:rPr>
      </w:pPr>
      <w:r>
        <w:rPr>
          <w:rFonts w:hint="default"/>
          <w:color w:val="auto"/>
          <w:lang w:val="en-US" w:eastAsia="zh-CN"/>
        </w:rPr>
        <w:t>经作业条件危险性分析对露天矿山采场的穿孔作业、爆破作业、铲装运输作业、电气作业、洒水防尘作业等进行事故发生可能性及其严重程度分析评价：穿孔作业的高处坠落危险程度为显著危险；爆破作业的放炮与火药爆炸、坍塌、高处坠落危险程度为显著危险；铲装运输作业的车辆伤害、高处坠落危险程度为显著危险；电气作业的触电危险程度为显著危险。员工作业过程中需要加强防范措施，防止可能导致重大事故发生。其他均为一般危险，需要注意并加以防范。</w:t>
      </w:r>
    </w:p>
    <w:p w14:paraId="6CF5049B">
      <w:pPr>
        <w:rPr>
          <w:rFonts w:hint="default"/>
          <w:color w:val="auto"/>
          <w:lang w:val="en-US" w:eastAsia="zh-CN"/>
        </w:rPr>
      </w:pPr>
    </w:p>
    <w:p w14:paraId="178761AD">
      <w:pPr>
        <w:rPr>
          <w:rFonts w:hint="default"/>
          <w:color w:val="auto"/>
          <w:lang w:val="en-US" w:eastAsia="zh-CN"/>
        </w:rPr>
      </w:pPr>
      <w:r>
        <w:rPr>
          <w:rFonts w:hint="default"/>
          <w:color w:val="auto"/>
          <w:lang w:val="en-US" w:eastAsia="zh-CN"/>
        </w:rPr>
        <w:br w:type="page"/>
      </w:r>
    </w:p>
    <w:p w14:paraId="78630000">
      <w:pPr>
        <w:pStyle w:val="2"/>
        <w:numPr>
          <w:ilvl w:val="0"/>
          <w:numId w:val="1"/>
        </w:numPr>
        <w:bidi w:val="0"/>
        <w:ind w:left="0" w:leftChars="0" w:firstLine="0" w:firstLineChars="0"/>
        <w:rPr>
          <w:rFonts w:hint="default" w:ascii="Times New Roman" w:hAnsi="Times New Roman" w:cs="Times New Roman"/>
          <w:color w:val="auto"/>
          <w:lang w:val="en-US" w:eastAsia="zh-CN"/>
        </w:rPr>
      </w:pPr>
      <w:bookmarkStart w:id="339" w:name="_Toc27745"/>
      <w:bookmarkStart w:id="340" w:name="_Toc24515"/>
      <w:bookmarkStart w:id="341" w:name="_Toc15561"/>
      <w:r>
        <w:rPr>
          <w:rFonts w:hint="default" w:ascii="Times New Roman" w:hAnsi="Times New Roman" w:cs="Times New Roman"/>
          <w:color w:val="auto"/>
          <w:lang w:val="en-US" w:eastAsia="zh-CN"/>
        </w:rPr>
        <w:t>安全对策措施及建议</w:t>
      </w:r>
      <w:bookmarkEnd w:id="339"/>
      <w:bookmarkEnd w:id="340"/>
      <w:bookmarkEnd w:id="341"/>
    </w:p>
    <w:p w14:paraId="3B8DDCA9">
      <w:pPr>
        <w:pStyle w:val="3"/>
        <w:bidi w:val="0"/>
        <w:rPr>
          <w:rFonts w:hint="default"/>
          <w:color w:val="auto"/>
          <w:lang w:val="en-US" w:eastAsia="zh-CN"/>
        </w:rPr>
      </w:pPr>
      <w:bookmarkStart w:id="342" w:name="_Toc18652"/>
      <w:bookmarkStart w:id="343" w:name="_Toc29815"/>
      <w:bookmarkStart w:id="344" w:name="_Toc27555"/>
      <w:r>
        <w:rPr>
          <w:rFonts w:hint="default"/>
          <w:color w:val="auto"/>
          <w:lang w:val="en-US" w:eastAsia="zh-CN"/>
        </w:rPr>
        <w:t>6.1 安全管理对策措施建议</w:t>
      </w:r>
      <w:bookmarkEnd w:id="342"/>
      <w:bookmarkEnd w:id="343"/>
      <w:bookmarkEnd w:id="344"/>
    </w:p>
    <w:p w14:paraId="434F996E">
      <w:pPr>
        <w:rPr>
          <w:rFonts w:hint="default"/>
          <w:color w:val="auto"/>
          <w:lang w:val="en-US" w:eastAsia="zh-CN"/>
        </w:rPr>
      </w:pPr>
      <w:r>
        <w:rPr>
          <w:rFonts w:hint="default"/>
          <w:color w:val="auto"/>
          <w:lang w:val="en-US" w:eastAsia="zh-CN"/>
        </w:rPr>
        <w:t>1</w:t>
      </w:r>
      <w:r>
        <w:rPr>
          <w:rFonts w:hint="eastAsia"/>
          <w:color w:val="auto"/>
          <w:lang w:val="en-US" w:eastAsia="zh-CN"/>
        </w:rPr>
        <w:t xml:space="preserve">. </w:t>
      </w:r>
      <w:r>
        <w:rPr>
          <w:rFonts w:hint="default"/>
          <w:color w:val="auto"/>
          <w:lang w:val="en-US" w:eastAsia="zh-CN"/>
        </w:rPr>
        <w:t>该矿山</w:t>
      </w:r>
      <w:r>
        <w:rPr>
          <w:rFonts w:hint="eastAsia"/>
          <w:color w:val="auto"/>
          <w:lang w:val="en-US" w:eastAsia="zh-CN"/>
        </w:rPr>
        <w:t>未</w:t>
      </w:r>
      <w:r>
        <w:rPr>
          <w:rFonts w:hint="default"/>
          <w:color w:val="auto"/>
          <w:lang w:val="en-US" w:eastAsia="zh-CN"/>
        </w:rPr>
        <w:t>聘请地质专业的技术人员</w:t>
      </w:r>
      <w:r>
        <w:rPr>
          <w:rFonts w:hint="eastAsia"/>
          <w:color w:val="auto"/>
          <w:lang w:val="en-US" w:eastAsia="zh-CN"/>
        </w:rPr>
        <w:t>；</w:t>
      </w:r>
      <w:r>
        <w:rPr>
          <w:rFonts w:hint="default"/>
          <w:color w:val="auto"/>
          <w:lang w:val="en-US" w:eastAsia="zh-CN"/>
        </w:rPr>
        <w:t>安全生产规章制度不齐全</w:t>
      </w:r>
      <w:r>
        <w:rPr>
          <w:rFonts w:hint="eastAsia"/>
          <w:color w:val="auto"/>
          <w:lang w:val="en-US" w:eastAsia="zh-CN"/>
        </w:rPr>
        <w:t>；</w:t>
      </w:r>
      <w:r>
        <w:rPr>
          <w:rFonts w:hint="default"/>
          <w:color w:val="auto"/>
          <w:lang w:val="en-US" w:eastAsia="zh-CN"/>
        </w:rPr>
        <w:t>未见相关实物发票</w:t>
      </w:r>
      <w:r>
        <w:rPr>
          <w:rFonts w:hint="eastAsia"/>
          <w:color w:val="auto"/>
          <w:lang w:val="en-US" w:eastAsia="zh-CN"/>
        </w:rPr>
        <w:t>；保险人数与实际人数不相符</w:t>
      </w:r>
      <w:r>
        <w:rPr>
          <w:rFonts w:hint="default"/>
          <w:color w:val="auto"/>
          <w:lang w:val="en-US" w:eastAsia="zh-CN"/>
        </w:rPr>
        <w:t>。建议矿山聘请根据相关要求聘请地质专业的技术人员</w:t>
      </w:r>
      <w:r>
        <w:rPr>
          <w:rFonts w:hint="eastAsia"/>
          <w:color w:val="auto"/>
          <w:lang w:val="en-US" w:eastAsia="zh-CN"/>
        </w:rPr>
        <w:t>；</w:t>
      </w:r>
      <w:r>
        <w:rPr>
          <w:rFonts w:hint="default"/>
          <w:color w:val="auto"/>
          <w:lang w:val="en-US" w:eastAsia="zh-CN"/>
        </w:rPr>
        <w:t>完善安全生产规章制度</w:t>
      </w:r>
      <w:r>
        <w:rPr>
          <w:rFonts w:hint="eastAsia"/>
          <w:color w:val="auto"/>
          <w:lang w:val="en-US" w:eastAsia="zh-CN"/>
        </w:rPr>
        <w:t>；购买</w:t>
      </w:r>
      <w:r>
        <w:rPr>
          <w:rFonts w:hint="default"/>
          <w:color w:val="auto"/>
          <w:lang w:val="en-US" w:eastAsia="zh-CN"/>
        </w:rPr>
        <w:t>安全设施设备</w:t>
      </w:r>
      <w:r>
        <w:rPr>
          <w:rFonts w:hint="eastAsia"/>
          <w:color w:val="auto"/>
          <w:lang w:val="en-US" w:eastAsia="zh-CN"/>
        </w:rPr>
        <w:t>留有</w:t>
      </w:r>
      <w:r>
        <w:rPr>
          <w:rFonts w:hint="default"/>
          <w:color w:val="auto"/>
          <w:lang w:val="en-US" w:eastAsia="zh-CN"/>
        </w:rPr>
        <w:t>实物发票</w:t>
      </w:r>
      <w:r>
        <w:rPr>
          <w:rFonts w:hint="eastAsia"/>
          <w:color w:val="auto"/>
          <w:lang w:val="en-US" w:eastAsia="zh-CN"/>
        </w:rPr>
        <w:t>；为全体人员购买保险。</w:t>
      </w:r>
    </w:p>
    <w:p w14:paraId="245ADB8F">
      <w:pPr>
        <w:rPr>
          <w:rFonts w:hint="default"/>
          <w:color w:val="auto"/>
          <w:lang w:val="en-US" w:eastAsia="zh-CN"/>
        </w:rPr>
      </w:pPr>
      <w:r>
        <w:rPr>
          <w:rFonts w:hint="eastAsia"/>
          <w:color w:val="auto"/>
          <w:lang w:val="en-US" w:eastAsia="zh-CN"/>
        </w:rPr>
        <w:t>2. 矿山应继续完善粉尘、噪声等职业危害告知牌，并与从业人员签订职业健康危害告知书或在合同中补充说明。健全职业健康档案，安排职工进行职业健康体检，对粉尘、噪声等采取降尘降噪措施，按规定发放劳动防护用品，并监督使用。</w:t>
      </w:r>
    </w:p>
    <w:p w14:paraId="73397CD5">
      <w:pPr>
        <w:rPr>
          <w:rFonts w:hint="default"/>
          <w:color w:val="auto"/>
          <w:lang w:val="en-US" w:eastAsia="zh-CN"/>
        </w:rPr>
      </w:pPr>
      <w:r>
        <w:rPr>
          <w:rFonts w:hint="default"/>
          <w:color w:val="auto"/>
          <w:lang w:val="en-US" w:eastAsia="zh-CN"/>
        </w:rPr>
        <w:t>3</w:t>
      </w:r>
      <w:r>
        <w:rPr>
          <w:rFonts w:hint="eastAsia"/>
          <w:color w:val="auto"/>
          <w:lang w:val="en-US" w:eastAsia="zh-CN"/>
        </w:rPr>
        <w:t xml:space="preserve">. </w:t>
      </w:r>
      <w:r>
        <w:rPr>
          <w:rFonts w:hint="default"/>
          <w:color w:val="auto"/>
          <w:lang w:val="en-US" w:eastAsia="zh-CN"/>
        </w:rPr>
        <w:t>矿山应组建应急救援队伍，定期组织事故应急演练，特别是触电、机械伤害、高处坠落、物体打击等常见的事故类型进行专项应急演练，做好应急演练总结、效果评估、记录，及时根据演练情况修订相关应急处置措施，根据评估结果适时修订应急预案。配备配齐事故应急物资，定期检查维护。</w:t>
      </w:r>
    </w:p>
    <w:p w14:paraId="090F021F">
      <w:pPr>
        <w:rPr>
          <w:rFonts w:hint="default"/>
          <w:color w:val="auto"/>
          <w:lang w:val="en-US" w:eastAsia="zh-CN"/>
        </w:rPr>
      </w:pPr>
      <w:r>
        <w:rPr>
          <w:rFonts w:hint="default"/>
          <w:color w:val="auto"/>
          <w:lang w:val="en-US" w:eastAsia="zh-CN"/>
        </w:rPr>
        <w:t>4</w:t>
      </w:r>
      <w:r>
        <w:rPr>
          <w:rFonts w:hint="eastAsia"/>
          <w:color w:val="auto"/>
          <w:lang w:val="en-US" w:eastAsia="zh-CN"/>
        </w:rPr>
        <w:t xml:space="preserve">. </w:t>
      </w:r>
      <w:r>
        <w:rPr>
          <w:rFonts w:hint="default"/>
          <w:color w:val="auto"/>
          <w:lang w:val="en-US" w:eastAsia="zh-CN"/>
        </w:rPr>
        <w:t>矿山应当进一步落实安全隐患排查与治理制度、安全检查制度的要求，完善各类安全检查台账及隐患整改记录。</w:t>
      </w:r>
    </w:p>
    <w:p w14:paraId="1D2B22F3">
      <w:pPr>
        <w:rPr>
          <w:rFonts w:hint="default"/>
          <w:color w:val="auto"/>
          <w:lang w:val="en-US" w:eastAsia="zh-CN"/>
        </w:rPr>
      </w:pPr>
      <w:r>
        <w:rPr>
          <w:rFonts w:hint="default"/>
          <w:color w:val="auto"/>
          <w:lang w:val="en-US" w:eastAsia="zh-CN"/>
        </w:rPr>
        <w:t>5</w:t>
      </w:r>
      <w:r>
        <w:rPr>
          <w:rFonts w:hint="eastAsia"/>
          <w:color w:val="auto"/>
          <w:lang w:val="en-US" w:eastAsia="zh-CN"/>
        </w:rPr>
        <w:t xml:space="preserve">. </w:t>
      </w:r>
      <w:r>
        <w:rPr>
          <w:rFonts w:hint="default"/>
          <w:color w:val="auto"/>
          <w:lang w:val="en-US" w:eastAsia="zh-CN"/>
        </w:rPr>
        <w:t>矿山主要负责人应当定期召开安全会议，研究解决当前存在的有关安全问题，并跟踪落实到位，切实消除本单位存在的安全隐患。</w:t>
      </w:r>
    </w:p>
    <w:p w14:paraId="412C6AB7">
      <w:pPr>
        <w:rPr>
          <w:rFonts w:hint="default"/>
          <w:color w:val="auto"/>
          <w:lang w:val="en-US" w:eastAsia="zh-CN"/>
        </w:rPr>
      </w:pPr>
      <w:r>
        <w:rPr>
          <w:rFonts w:hint="default"/>
          <w:color w:val="auto"/>
          <w:lang w:val="en-US" w:eastAsia="zh-CN"/>
        </w:rPr>
        <w:t>6</w:t>
      </w:r>
      <w:r>
        <w:rPr>
          <w:rFonts w:hint="eastAsia"/>
          <w:color w:val="auto"/>
          <w:lang w:val="en-US" w:eastAsia="zh-CN"/>
        </w:rPr>
        <w:t xml:space="preserve">. </w:t>
      </w:r>
      <w:r>
        <w:rPr>
          <w:rFonts w:hint="default"/>
          <w:color w:val="auto"/>
          <w:lang w:val="en-US" w:eastAsia="zh-CN"/>
        </w:rPr>
        <w:t>矿山应进一步完善安全管理规章制度、责任制及操作规程，并进行培训及考核，与各级部门及员工签订安全生产目标责任书，建立考核机制，完善岗位操作标准。</w:t>
      </w:r>
    </w:p>
    <w:p w14:paraId="6439415E">
      <w:pPr>
        <w:rPr>
          <w:rFonts w:hint="default"/>
          <w:color w:val="auto"/>
          <w:lang w:val="en-US" w:eastAsia="zh-CN"/>
        </w:rPr>
      </w:pPr>
      <w:r>
        <w:rPr>
          <w:rFonts w:hint="default"/>
          <w:color w:val="auto"/>
          <w:lang w:val="en-US" w:eastAsia="zh-CN"/>
        </w:rPr>
        <w:t>7</w:t>
      </w:r>
      <w:r>
        <w:rPr>
          <w:rFonts w:hint="eastAsia"/>
          <w:color w:val="auto"/>
          <w:lang w:val="en-US" w:eastAsia="zh-CN"/>
        </w:rPr>
        <w:t xml:space="preserve">. </w:t>
      </w:r>
      <w:r>
        <w:rPr>
          <w:rFonts w:hint="default"/>
          <w:color w:val="auto"/>
          <w:lang w:val="en-US" w:eastAsia="zh-CN"/>
        </w:rPr>
        <w:t>矿山应当持续推进安全生产标准化的建设，不断总结及提供，每年进行安全生产标准化自评，对自评发现的问题及时整改及制定措施方案。</w:t>
      </w:r>
    </w:p>
    <w:p w14:paraId="67776F00">
      <w:pPr>
        <w:rPr>
          <w:rFonts w:hint="default"/>
          <w:color w:val="auto"/>
          <w:lang w:val="en-US" w:eastAsia="zh-CN"/>
        </w:rPr>
      </w:pPr>
      <w:r>
        <w:rPr>
          <w:rFonts w:hint="eastAsia"/>
          <w:color w:val="auto"/>
          <w:lang w:val="en-US" w:eastAsia="zh-CN"/>
        </w:rPr>
        <w:t xml:space="preserve">8. </w:t>
      </w:r>
      <w:r>
        <w:rPr>
          <w:rFonts w:hint="default"/>
          <w:color w:val="auto"/>
          <w:lang w:val="en-US" w:eastAsia="zh-CN"/>
        </w:rPr>
        <w:t>矿山应制定边坡排险、临时用电、高处作业、停送电等相关危险作业的许可票、操作票，并加强危险作业的监督及监护。</w:t>
      </w:r>
    </w:p>
    <w:p w14:paraId="3ECD36ED">
      <w:pPr>
        <w:pStyle w:val="3"/>
        <w:bidi w:val="0"/>
        <w:rPr>
          <w:rFonts w:hint="default"/>
          <w:color w:val="auto"/>
          <w:lang w:val="en-US" w:eastAsia="zh-CN"/>
        </w:rPr>
      </w:pPr>
      <w:bookmarkStart w:id="345" w:name="_Toc5780"/>
      <w:bookmarkStart w:id="346" w:name="_Toc19608"/>
      <w:bookmarkStart w:id="347" w:name="_Toc24300"/>
      <w:r>
        <w:rPr>
          <w:rFonts w:hint="default"/>
          <w:color w:val="auto"/>
          <w:lang w:val="en-US" w:eastAsia="zh-CN"/>
        </w:rPr>
        <w:t>6.2 露天开采安全对策措施建议</w:t>
      </w:r>
      <w:bookmarkEnd w:id="345"/>
      <w:bookmarkEnd w:id="346"/>
      <w:bookmarkEnd w:id="347"/>
    </w:p>
    <w:p w14:paraId="5395130A">
      <w:pPr>
        <w:rPr>
          <w:rFonts w:hint="default"/>
          <w:color w:val="auto"/>
          <w:lang w:val="en-US" w:eastAsia="zh-CN"/>
        </w:rPr>
      </w:pPr>
      <w:r>
        <w:rPr>
          <w:rFonts w:hint="default"/>
          <w:color w:val="auto"/>
          <w:lang w:val="en-US" w:eastAsia="zh-CN"/>
        </w:rPr>
        <w:t>1</w:t>
      </w:r>
      <w:r>
        <w:rPr>
          <w:rFonts w:hint="eastAsia"/>
          <w:color w:val="auto"/>
          <w:lang w:val="en-US" w:eastAsia="zh-CN"/>
        </w:rPr>
        <w:t xml:space="preserve">. </w:t>
      </w:r>
      <w:r>
        <w:rPr>
          <w:rFonts w:hint="default"/>
          <w:color w:val="auto"/>
          <w:lang w:val="en-US" w:eastAsia="zh-CN"/>
        </w:rPr>
        <w:t>矿山应严格遵守设计的台阶参数进行作业，确保台阶高度和坡面角符合设计要求。</w:t>
      </w:r>
    </w:p>
    <w:p w14:paraId="6398EB8B">
      <w:pPr>
        <w:rPr>
          <w:rFonts w:hint="default"/>
          <w:color w:val="auto"/>
          <w:lang w:val="en-US" w:eastAsia="zh-CN"/>
        </w:rPr>
      </w:pPr>
      <w:r>
        <w:rPr>
          <w:rFonts w:hint="eastAsia"/>
          <w:color w:val="auto"/>
          <w:lang w:val="en-US" w:eastAsia="zh-CN"/>
        </w:rPr>
        <w:t xml:space="preserve">2. </w:t>
      </w:r>
      <w:r>
        <w:rPr>
          <w:rFonts w:hint="default"/>
          <w:color w:val="auto"/>
          <w:lang w:val="en-US" w:eastAsia="zh-CN"/>
        </w:rPr>
        <w:t>严格遵循</w:t>
      </w:r>
      <w:r>
        <w:rPr>
          <w:rFonts w:hint="eastAsia" w:ascii="宋体" w:hAnsi="宋体" w:eastAsia="宋体" w:cs="宋体"/>
          <w:color w:val="auto"/>
          <w:lang w:val="en-US" w:eastAsia="zh-CN"/>
        </w:rPr>
        <w:t>“</w:t>
      </w:r>
      <w:r>
        <w:rPr>
          <w:rFonts w:hint="default"/>
          <w:color w:val="auto"/>
          <w:lang w:val="en-US" w:eastAsia="zh-CN"/>
        </w:rPr>
        <w:t>采剥并举、剥离先行</w:t>
      </w:r>
      <w:r>
        <w:rPr>
          <w:rFonts w:hint="eastAsia" w:ascii="宋体" w:hAnsi="宋体" w:eastAsia="宋体" w:cs="宋体"/>
          <w:color w:val="auto"/>
          <w:lang w:val="en-US" w:eastAsia="zh-CN"/>
        </w:rPr>
        <w:t>”</w:t>
      </w:r>
      <w:r>
        <w:rPr>
          <w:rFonts w:hint="default"/>
          <w:color w:val="auto"/>
          <w:lang w:val="en-US" w:eastAsia="zh-CN"/>
        </w:rPr>
        <w:t>的开采原则，按照设计要求采用自上而下台阶式开采的顺序，逐个台阶开采，严禁采用</w:t>
      </w:r>
      <w:r>
        <w:rPr>
          <w:rFonts w:hint="eastAsia" w:ascii="宋体" w:hAnsi="宋体" w:eastAsia="宋体" w:cs="宋体"/>
          <w:color w:val="auto"/>
          <w:lang w:val="en-US" w:eastAsia="zh-CN"/>
        </w:rPr>
        <w:t>“</w:t>
      </w:r>
      <w:r>
        <w:rPr>
          <w:rFonts w:hint="default"/>
          <w:color w:val="auto"/>
          <w:lang w:val="en-US" w:eastAsia="zh-CN"/>
        </w:rPr>
        <w:t>遍地开花</w:t>
      </w:r>
      <w:r>
        <w:rPr>
          <w:rFonts w:hint="eastAsia" w:ascii="宋体" w:hAnsi="宋体" w:eastAsia="宋体" w:cs="宋体"/>
          <w:color w:val="auto"/>
          <w:lang w:val="en-US" w:eastAsia="zh-CN"/>
        </w:rPr>
        <w:t>”</w:t>
      </w:r>
      <w:r>
        <w:rPr>
          <w:rFonts w:hint="default"/>
          <w:color w:val="auto"/>
          <w:lang w:val="en-US" w:eastAsia="zh-CN"/>
        </w:rPr>
        <w:t>式作业方式，对暂时不应开采的区域，应封闭进入其平台的通道，并设置禁止入内的安全警示标志。</w:t>
      </w:r>
    </w:p>
    <w:p w14:paraId="33F15109">
      <w:pPr>
        <w:rPr>
          <w:rFonts w:hint="default"/>
          <w:color w:val="auto"/>
          <w:lang w:val="en-US" w:eastAsia="zh-CN"/>
        </w:rPr>
      </w:pPr>
      <w:r>
        <w:rPr>
          <w:rFonts w:hint="default"/>
          <w:color w:val="auto"/>
          <w:lang w:val="en-US" w:eastAsia="zh-CN"/>
        </w:rPr>
        <w:t>3</w:t>
      </w:r>
      <w:r>
        <w:rPr>
          <w:rFonts w:hint="eastAsia"/>
          <w:color w:val="auto"/>
          <w:lang w:val="en-US" w:eastAsia="zh-CN"/>
        </w:rPr>
        <w:t xml:space="preserve">. </w:t>
      </w:r>
      <w:r>
        <w:rPr>
          <w:rFonts w:hint="default"/>
          <w:color w:val="auto"/>
          <w:lang w:val="en-US" w:eastAsia="zh-CN"/>
        </w:rPr>
        <w:t>矿山在作业前和作业中以及每次爆破后，应当对坡面进行安全检查，发现工作面有裂痕，或者在坡面上有浮石、危石和伞檐体可能塌落时，应当立即停止作业并撤离人员至安全地点，采取安全措施和消除隐患。</w:t>
      </w:r>
    </w:p>
    <w:p w14:paraId="09C99FB5">
      <w:pPr>
        <w:rPr>
          <w:rFonts w:hint="default"/>
          <w:color w:val="auto"/>
          <w:lang w:val="en-US" w:eastAsia="zh-CN"/>
        </w:rPr>
      </w:pPr>
      <w:r>
        <w:rPr>
          <w:rFonts w:hint="default"/>
          <w:color w:val="auto"/>
          <w:lang w:val="en-US" w:eastAsia="zh-CN"/>
        </w:rPr>
        <w:t>4</w:t>
      </w:r>
      <w:r>
        <w:rPr>
          <w:rFonts w:hint="eastAsia"/>
          <w:color w:val="auto"/>
          <w:lang w:val="en-US" w:eastAsia="zh-CN"/>
        </w:rPr>
        <w:t xml:space="preserve">. </w:t>
      </w:r>
      <w:r>
        <w:rPr>
          <w:rFonts w:hint="default"/>
          <w:color w:val="auto"/>
          <w:lang w:val="en-US" w:eastAsia="zh-CN"/>
        </w:rPr>
        <w:t>矿山不应在雷雨、大雾、大风等恶劣天气条件下进行爆破作业。矿山应定出警戒范围，在该区域边界设置警戒。</w:t>
      </w:r>
    </w:p>
    <w:p w14:paraId="011D942F">
      <w:pPr>
        <w:rPr>
          <w:rFonts w:hint="default"/>
          <w:color w:val="auto"/>
          <w:lang w:val="en-US" w:eastAsia="zh-CN"/>
        </w:rPr>
      </w:pPr>
      <w:r>
        <w:rPr>
          <w:rFonts w:hint="default"/>
          <w:color w:val="auto"/>
          <w:lang w:val="en-US" w:eastAsia="zh-CN"/>
        </w:rPr>
        <w:t>5</w:t>
      </w:r>
      <w:r>
        <w:rPr>
          <w:rFonts w:hint="eastAsia"/>
          <w:color w:val="auto"/>
          <w:lang w:val="en-US" w:eastAsia="zh-CN"/>
        </w:rPr>
        <w:t xml:space="preserve">. </w:t>
      </w:r>
      <w:r>
        <w:rPr>
          <w:rFonts w:hint="default"/>
          <w:color w:val="auto"/>
          <w:lang w:val="en-US" w:eastAsia="zh-CN"/>
        </w:rPr>
        <w:t>矿山在生产过程中，应一直采用湿式凿岩作业或采取捕尘装置的干式凿岩作业，作业人员应佩戴符合要求的个体防护用品，如安全帽、防尘口罩等。</w:t>
      </w:r>
    </w:p>
    <w:p w14:paraId="04BED42A">
      <w:pPr>
        <w:rPr>
          <w:rFonts w:hint="default"/>
          <w:color w:val="auto"/>
          <w:lang w:val="en-US" w:eastAsia="zh-CN"/>
        </w:rPr>
      </w:pPr>
      <w:r>
        <w:rPr>
          <w:rFonts w:hint="eastAsia"/>
          <w:color w:val="auto"/>
          <w:lang w:val="en-US" w:eastAsia="zh-CN"/>
        </w:rPr>
        <w:t xml:space="preserve">6. </w:t>
      </w:r>
      <w:r>
        <w:rPr>
          <w:rFonts w:hint="default"/>
          <w:color w:val="auto"/>
          <w:lang w:val="en-US" w:eastAsia="zh-CN"/>
        </w:rPr>
        <w:t>挖机禁止在错开距离不符合要求的情况下，在同一平台或上下台阶同时开采。</w:t>
      </w:r>
    </w:p>
    <w:p w14:paraId="3BEE77DB">
      <w:pPr>
        <w:rPr>
          <w:rFonts w:hint="default"/>
          <w:color w:val="auto"/>
          <w:lang w:val="en-US" w:eastAsia="zh-CN"/>
        </w:rPr>
      </w:pPr>
      <w:r>
        <w:rPr>
          <w:rFonts w:hint="eastAsia"/>
          <w:color w:val="auto"/>
          <w:lang w:val="en-US" w:eastAsia="zh-CN"/>
        </w:rPr>
        <w:t xml:space="preserve">7. </w:t>
      </w:r>
      <w:r>
        <w:rPr>
          <w:rFonts w:hint="default"/>
          <w:color w:val="auto"/>
          <w:lang w:val="en-US" w:eastAsia="zh-CN"/>
        </w:rPr>
        <w:t>任何进入作业现场的人员，都必须佩戴安全帽。</w:t>
      </w:r>
    </w:p>
    <w:p w14:paraId="4A40F370">
      <w:pPr>
        <w:rPr>
          <w:rFonts w:hint="default"/>
          <w:color w:val="auto"/>
          <w:lang w:val="en-US" w:eastAsia="zh-CN"/>
        </w:rPr>
      </w:pPr>
      <w:r>
        <w:rPr>
          <w:rFonts w:hint="eastAsia"/>
          <w:color w:val="auto"/>
          <w:lang w:val="en-US" w:eastAsia="zh-CN"/>
        </w:rPr>
        <w:t>8. 破碎工业场地距离矿区边界最近为50m，在爆破前，破碎站内及周边规定范围内所有人员必须撤离至安全地点。</w:t>
      </w:r>
    </w:p>
    <w:p w14:paraId="046A84A4">
      <w:pPr>
        <w:pStyle w:val="3"/>
        <w:bidi w:val="0"/>
        <w:rPr>
          <w:rFonts w:hint="default"/>
          <w:color w:val="auto"/>
          <w:lang w:val="en-US" w:eastAsia="zh-CN"/>
        </w:rPr>
      </w:pPr>
      <w:bookmarkStart w:id="348" w:name="_Toc711"/>
      <w:bookmarkStart w:id="349" w:name="_Toc28106"/>
      <w:bookmarkStart w:id="350" w:name="_Toc11385"/>
      <w:r>
        <w:rPr>
          <w:rFonts w:hint="eastAsia"/>
          <w:color w:val="auto"/>
          <w:lang w:val="en-US" w:eastAsia="zh-CN"/>
        </w:rPr>
        <w:t>6.3 开拓运输单元对策措施</w:t>
      </w:r>
      <w:bookmarkEnd w:id="348"/>
      <w:bookmarkEnd w:id="349"/>
      <w:bookmarkEnd w:id="350"/>
    </w:p>
    <w:p w14:paraId="0513BC54">
      <w:pPr>
        <w:rPr>
          <w:rFonts w:hint="default"/>
          <w:color w:val="auto"/>
          <w:lang w:val="en-US" w:eastAsia="zh-CN"/>
        </w:rPr>
      </w:pPr>
      <w:r>
        <w:rPr>
          <w:rFonts w:hint="default"/>
          <w:color w:val="auto"/>
          <w:lang w:val="en-US" w:eastAsia="zh-CN"/>
        </w:rPr>
        <w:t>1</w:t>
      </w:r>
      <w:r>
        <w:rPr>
          <w:rFonts w:hint="eastAsia"/>
          <w:color w:val="auto"/>
          <w:lang w:val="en-US" w:eastAsia="zh-CN"/>
        </w:rPr>
        <w:t xml:space="preserve">. </w:t>
      </w:r>
      <w:r>
        <w:rPr>
          <w:rFonts w:hint="default"/>
          <w:color w:val="auto"/>
          <w:lang w:val="en-US" w:eastAsia="zh-CN"/>
        </w:rPr>
        <w:t>雨雪、大雾、冰冻等恶劣天气应禁止车辆上山运输。</w:t>
      </w:r>
    </w:p>
    <w:p w14:paraId="2EF09F68">
      <w:pPr>
        <w:rPr>
          <w:rFonts w:hint="default"/>
          <w:color w:val="auto"/>
          <w:lang w:val="en-US" w:eastAsia="zh-CN"/>
        </w:rPr>
      </w:pPr>
      <w:r>
        <w:rPr>
          <w:rFonts w:hint="eastAsia"/>
          <w:color w:val="auto"/>
          <w:lang w:val="en-US" w:eastAsia="zh-CN"/>
        </w:rPr>
        <w:t xml:space="preserve">2. </w:t>
      </w:r>
      <w:r>
        <w:rPr>
          <w:rFonts w:hint="default"/>
          <w:color w:val="auto"/>
          <w:lang w:val="en-US" w:eastAsia="zh-CN"/>
        </w:rPr>
        <w:t>加强对运输道路的检查维护，确保上山公路排水沟、安全警示标志、</w:t>
      </w:r>
      <w:r>
        <w:rPr>
          <w:rFonts w:hint="eastAsia"/>
          <w:color w:val="auto"/>
          <w:lang w:val="en-US" w:eastAsia="zh-CN"/>
        </w:rPr>
        <w:t>反光镜</w:t>
      </w:r>
      <w:r>
        <w:rPr>
          <w:rFonts w:hint="default"/>
          <w:color w:val="auto"/>
          <w:lang w:val="en-US" w:eastAsia="zh-CN"/>
        </w:rPr>
        <w:t>等设施的完好。</w:t>
      </w:r>
    </w:p>
    <w:p w14:paraId="02A7944D">
      <w:pPr>
        <w:rPr>
          <w:rFonts w:hint="default"/>
          <w:color w:val="auto"/>
          <w:lang w:val="en-US" w:eastAsia="zh-CN"/>
        </w:rPr>
      </w:pPr>
      <w:r>
        <w:rPr>
          <w:rFonts w:hint="eastAsia"/>
          <w:color w:val="auto"/>
          <w:lang w:val="en-US" w:eastAsia="zh-CN"/>
        </w:rPr>
        <w:t xml:space="preserve">3. </w:t>
      </w:r>
      <w:r>
        <w:rPr>
          <w:rFonts w:hint="default"/>
          <w:color w:val="auto"/>
          <w:lang w:val="en-US" w:eastAsia="zh-CN"/>
        </w:rPr>
        <w:t>加强对运输设备、设施的检查、维护，确保设备、设施完好、性能可靠、使用安全。</w:t>
      </w:r>
    </w:p>
    <w:p w14:paraId="798AE045">
      <w:pPr>
        <w:rPr>
          <w:rFonts w:hint="default"/>
          <w:color w:val="auto"/>
          <w:lang w:val="en-US" w:eastAsia="zh-CN"/>
        </w:rPr>
      </w:pPr>
      <w:r>
        <w:rPr>
          <w:rFonts w:hint="eastAsia"/>
          <w:color w:val="auto"/>
          <w:lang w:val="en-US" w:eastAsia="zh-CN"/>
        </w:rPr>
        <w:t xml:space="preserve">4. </w:t>
      </w:r>
      <w:r>
        <w:rPr>
          <w:rFonts w:hint="default"/>
          <w:color w:val="auto"/>
          <w:lang w:val="en-US" w:eastAsia="zh-CN"/>
        </w:rPr>
        <w:t>加强对运输车辆驾驶人员的安全教育、培训，驾驶人员均须取得相应的驾驶资格证，并持证上岗，严禁酒后、疲劳驾驶。</w:t>
      </w:r>
    </w:p>
    <w:p w14:paraId="67BDB244">
      <w:pPr>
        <w:rPr>
          <w:rFonts w:hint="default"/>
          <w:color w:val="auto"/>
          <w:lang w:val="en-US" w:eastAsia="zh-CN"/>
        </w:rPr>
      </w:pPr>
      <w:r>
        <w:rPr>
          <w:rFonts w:hint="eastAsia"/>
          <w:color w:val="auto"/>
          <w:lang w:val="en-US" w:eastAsia="zh-CN"/>
        </w:rPr>
        <w:t xml:space="preserve">5. </w:t>
      </w:r>
      <w:r>
        <w:rPr>
          <w:rFonts w:hint="default"/>
          <w:color w:val="auto"/>
          <w:lang w:val="en-US" w:eastAsia="zh-CN"/>
        </w:rPr>
        <w:t>加强运输安全管理，规范运输安全操作、运行。</w:t>
      </w:r>
    </w:p>
    <w:p w14:paraId="4D933C4C">
      <w:pPr>
        <w:rPr>
          <w:rFonts w:hint="default"/>
          <w:color w:val="auto"/>
          <w:lang w:val="en-US" w:eastAsia="zh-CN"/>
        </w:rPr>
      </w:pPr>
      <w:r>
        <w:rPr>
          <w:rFonts w:hint="eastAsia"/>
          <w:color w:val="auto"/>
          <w:lang w:val="en-US" w:eastAsia="zh-CN"/>
        </w:rPr>
        <w:t>（1）</w:t>
      </w:r>
      <w:r>
        <w:rPr>
          <w:rFonts w:hint="default"/>
          <w:color w:val="auto"/>
          <w:lang w:val="en-US" w:eastAsia="zh-CN"/>
        </w:rPr>
        <w:t>雾天或烟尘弥漫影响能见度时，应开亮车前黄灯与标志灯，并靠右侧减速行驶，前后车间距应不小于30m。</w:t>
      </w:r>
    </w:p>
    <w:p w14:paraId="6ED63935">
      <w:pPr>
        <w:rPr>
          <w:rFonts w:hint="default"/>
          <w:color w:val="auto"/>
          <w:lang w:val="en-US" w:eastAsia="zh-CN"/>
        </w:rPr>
      </w:pPr>
      <w:r>
        <w:rPr>
          <w:rFonts w:hint="eastAsia"/>
          <w:color w:val="auto"/>
          <w:lang w:val="en-US" w:eastAsia="zh-CN"/>
        </w:rPr>
        <w:t>（2）</w:t>
      </w:r>
      <w:r>
        <w:rPr>
          <w:rFonts w:hint="default"/>
          <w:color w:val="auto"/>
          <w:lang w:val="en-US" w:eastAsia="zh-CN"/>
        </w:rPr>
        <w:t>冰雪或多雨季节道路较滑时，应有防滑措施并减速行驶；前后车距应不小于40m；拖挂其他车辆时，应采取有效的安全措施，并有专人指挥。</w:t>
      </w:r>
    </w:p>
    <w:p w14:paraId="1EF600B6">
      <w:pPr>
        <w:rPr>
          <w:rFonts w:hint="default"/>
          <w:color w:val="auto"/>
          <w:lang w:val="en-US" w:eastAsia="zh-CN"/>
        </w:rPr>
      </w:pPr>
      <w:r>
        <w:rPr>
          <w:rFonts w:hint="eastAsia"/>
          <w:color w:val="auto"/>
          <w:lang w:val="en-US" w:eastAsia="zh-CN"/>
        </w:rPr>
        <w:t>（3）</w:t>
      </w:r>
      <w:r>
        <w:rPr>
          <w:rFonts w:hint="default"/>
          <w:color w:val="auto"/>
          <w:lang w:val="en-US" w:eastAsia="zh-CN"/>
        </w:rPr>
        <w:t>正常作业条件下，同类车不应超车，前后车距离应保持适当。生产干线、坡道上不应无故停车。</w:t>
      </w:r>
    </w:p>
    <w:p w14:paraId="0A4A5229">
      <w:pPr>
        <w:rPr>
          <w:rFonts w:hint="default"/>
          <w:color w:val="auto"/>
          <w:lang w:val="en-US" w:eastAsia="zh-CN"/>
        </w:rPr>
      </w:pPr>
      <w:r>
        <w:rPr>
          <w:rFonts w:hint="eastAsia"/>
          <w:color w:val="auto"/>
          <w:lang w:val="en-US" w:eastAsia="zh-CN"/>
        </w:rPr>
        <w:t>（4）</w:t>
      </w:r>
      <w:r>
        <w:rPr>
          <w:rFonts w:hint="default"/>
          <w:color w:val="auto"/>
          <w:lang w:val="en-US" w:eastAsia="zh-CN"/>
        </w:rPr>
        <w:t>自卸汽车进入工作面装车，应停在挖掘机尾部回转范围0.5m以外，防止挖掘机回转撞坏车辆。汽车在靠近边坡或危险路面行驶时，应谨慎通过，防止崩塌事故发生。</w:t>
      </w:r>
    </w:p>
    <w:p w14:paraId="6110F1FD">
      <w:pPr>
        <w:pStyle w:val="3"/>
        <w:bidi w:val="0"/>
        <w:rPr>
          <w:rFonts w:hint="default"/>
          <w:color w:val="auto"/>
          <w:lang w:val="en-US" w:eastAsia="zh-CN"/>
        </w:rPr>
      </w:pPr>
      <w:bookmarkStart w:id="351" w:name="_Toc26569"/>
      <w:bookmarkStart w:id="352" w:name="_Toc16044"/>
      <w:bookmarkStart w:id="353" w:name="_Toc31879"/>
      <w:r>
        <w:rPr>
          <w:rFonts w:hint="eastAsia"/>
          <w:color w:val="auto"/>
          <w:lang w:val="en-US" w:eastAsia="zh-CN"/>
        </w:rPr>
        <w:t>6.4 爆破作业安全对策措施建议</w:t>
      </w:r>
      <w:bookmarkEnd w:id="351"/>
      <w:bookmarkEnd w:id="352"/>
      <w:bookmarkEnd w:id="353"/>
    </w:p>
    <w:p w14:paraId="0CFE8E4E">
      <w:pPr>
        <w:rPr>
          <w:rFonts w:hint="default"/>
          <w:color w:val="auto"/>
          <w:lang w:val="en-US" w:eastAsia="zh-CN"/>
        </w:rPr>
      </w:pPr>
      <w:r>
        <w:rPr>
          <w:rFonts w:hint="default"/>
          <w:color w:val="auto"/>
          <w:lang w:val="en-US" w:eastAsia="zh-CN"/>
        </w:rPr>
        <w:t>1</w:t>
      </w:r>
      <w:r>
        <w:rPr>
          <w:rFonts w:hint="eastAsia"/>
          <w:color w:val="auto"/>
          <w:lang w:val="en-US" w:eastAsia="zh-CN"/>
        </w:rPr>
        <w:t xml:space="preserve">. </w:t>
      </w:r>
      <w:r>
        <w:rPr>
          <w:rFonts w:hint="default"/>
          <w:color w:val="auto"/>
          <w:lang w:val="en-US" w:eastAsia="zh-CN"/>
        </w:rPr>
        <w:t>矿山与爆破公司签订</w:t>
      </w:r>
      <w:r>
        <w:rPr>
          <w:rFonts w:hint="eastAsia"/>
          <w:color w:val="auto"/>
          <w:lang w:val="en-US" w:eastAsia="zh-CN"/>
        </w:rPr>
        <w:t>的</w:t>
      </w:r>
      <w:r>
        <w:rPr>
          <w:rFonts w:hint="default"/>
          <w:color w:val="auto"/>
          <w:lang w:val="en-US" w:eastAsia="zh-CN"/>
        </w:rPr>
        <w:t>爆破协议</w:t>
      </w:r>
      <w:r>
        <w:rPr>
          <w:rFonts w:hint="eastAsia"/>
          <w:color w:val="auto"/>
          <w:lang w:val="en-US" w:eastAsia="zh-CN"/>
        </w:rPr>
        <w:t>应</w:t>
      </w:r>
      <w:r>
        <w:rPr>
          <w:rFonts w:hint="default"/>
          <w:color w:val="auto"/>
          <w:lang w:val="en-US" w:eastAsia="zh-CN"/>
        </w:rPr>
        <w:t>明确相应的责任及义务，应严格履行民爆协议的安全职责，监督爆破公司做好本矿山爆破监督，做好民爆物品的使用台账。矿山当日放炮，当日由专业配送炸药物品的公司运输配送到矿山，多余的火工材料当日运回，不在矿山滞留。</w:t>
      </w:r>
    </w:p>
    <w:p w14:paraId="690D0059">
      <w:pPr>
        <w:rPr>
          <w:rFonts w:hint="default"/>
          <w:color w:val="auto"/>
          <w:lang w:val="en-US" w:eastAsia="zh-CN"/>
        </w:rPr>
      </w:pPr>
      <w:r>
        <w:rPr>
          <w:rFonts w:hint="default"/>
          <w:color w:val="auto"/>
          <w:lang w:val="en-US" w:eastAsia="zh-CN"/>
        </w:rPr>
        <w:t>2</w:t>
      </w:r>
      <w:r>
        <w:rPr>
          <w:rFonts w:hint="eastAsia"/>
          <w:color w:val="auto"/>
          <w:lang w:val="en-US" w:eastAsia="zh-CN"/>
        </w:rPr>
        <w:t xml:space="preserve">. </w:t>
      </w:r>
      <w:r>
        <w:rPr>
          <w:rFonts w:hint="default"/>
          <w:color w:val="auto"/>
          <w:lang w:val="en-US" w:eastAsia="zh-CN"/>
        </w:rPr>
        <w:t>矿山开采要根据爆破区台阶高度、钻孔直径和岩石性质等，严格按设计的爆破参数进行爆破作业。</w:t>
      </w:r>
    </w:p>
    <w:p w14:paraId="3BF83AA3">
      <w:pPr>
        <w:rPr>
          <w:rFonts w:hint="default"/>
          <w:color w:val="auto"/>
          <w:lang w:val="en-US" w:eastAsia="zh-CN"/>
        </w:rPr>
      </w:pPr>
      <w:r>
        <w:rPr>
          <w:rFonts w:hint="default"/>
          <w:color w:val="auto"/>
          <w:lang w:val="en-US" w:eastAsia="zh-CN"/>
        </w:rPr>
        <w:t>3</w:t>
      </w:r>
      <w:r>
        <w:rPr>
          <w:rFonts w:hint="eastAsia"/>
          <w:color w:val="auto"/>
          <w:lang w:val="en-US" w:eastAsia="zh-CN"/>
        </w:rPr>
        <w:t xml:space="preserve">. </w:t>
      </w:r>
      <w:r>
        <w:rPr>
          <w:rFonts w:hint="default"/>
          <w:color w:val="auto"/>
          <w:lang w:val="en-US" w:eastAsia="zh-CN"/>
        </w:rPr>
        <w:t>必须制订严密的爆破安全措施，并向当地村民告示爆破时间、地点、警戒范围、爆破信号等。</w:t>
      </w:r>
    </w:p>
    <w:p w14:paraId="7196838D">
      <w:pPr>
        <w:rPr>
          <w:rFonts w:hint="default"/>
          <w:color w:val="auto"/>
          <w:lang w:val="en-US" w:eastAsia="zh-CN"/>
        </w:rPr>
      </w:pPr>
      <w:r>
        <w:rPr>
          <w:rFonts w:hint="default"/>
          <w:color w:val="auto"/>
          <w:lang w:val="en-US" w:eastAsia="zh-CN"/>
        </w:rPr>
        <w:t>4</w:t>
      </w:r>
      <w:r>
        <w:rPr>
          <w:rFonts w:hint="eastAsia"/>
          <w:color w:val="auto"/>
          <w:lang w:val="en-US" w:eastAsia="zh-CN"/>
        </w:rPr>
        <w:t xml:space="preserve">. </w:t>
      </w:r>
      <w:r>
        <w:rPr>
          <w:rFonts w:hint="default"/>
          <w:color w:val="auto"/>
          <w:lang w:val="en-US" w:eastAsia="zh-CN"/>
        </w:rPr>
        <w:t>应采用机械破碎方式处理大块岩石，禁止使用爆破方式破碎。在大雾天、黄昏、雷雨天、夜晚禁止进行露天爆破。</w:t>
      </w:r>
    </w:p>
    <w:p w14:paraId="7E431665">
      <w:pPr>
        <w:rPr>
          <w:rFonts w:hint="default"/>
          <w:color w:val="auto"/>
          <w:lang w:val="en-US" w:eastAsia="zh-CN"/>
        </w:rPr>
      </w:pPr>
      <w:r>
        <w:rPr>
          <w:rFonts w:hint="eastAsia"/>
          <w:color w:val="auto"/>
          <w:lang w:val="en-US" w:eastAsia="zh-CN"/>
        </w:rPr>
        <w:t xml:space="preserve">5. </w:t>
      </w:r>
      <w:r>
        <w:rPr>
          <w:rFonts w:hint="default"/>
          <w:color w:val="auto"/>
          <w:lang w:val="en-US" w:eastAsia="zh-CN"/>
        </w:rPr>
        <w:t>加强爆破安全管理。</w:t>
      </w:r>
    </w:p>
    <w:p w14:paraId="3F3C6CBD">
      <w:pPr>
        <w:rPr>
          <w:rFonts w:hint="default"/>
          <w:color w:val="auto"/>
          <w:lang w:val="en-US" w:eastAsia="zh-CN"/>
        </w:rPr>
      </w:pPr>
      <w:r>
        <w:rPr>
          <w:rFonts w:hint="eastAsia"/>
          <w:color w:val="auto"/>
          <w:lang w:val="en-US" w:eastAsia="zh-CN"/>
        </w:rPr>
        <w:t>（1）</w:t>
      </w:r>
      <w:r>
        <w:rPr>
          <w:rFonts w:hint="default"/>
          <w:color w:val="auto"/>
          <w:lang w:val="en-US" w:eastAsia="zh-CN"/>
        </w:rPr>
        <w:t>爆破前，必须将采场的设备、人员撤至安全地点。</w:t>
      </w:r>
    </w:p>
    <w:p w14:paraId="075F6106">
      <w:pPr>
        <w:rPr>
          <w:rFonts w:hint="default"/>
          <w:color w:val="auto"/>
          <w:lang w:val="en-US" w:eastAsia="zh-CN"/>
        </w:rPr>
      </w:pPr>
      <w:r>
        <w:rPr>
          <w:rFonts w:hint="eastAsia"/>
          <w:color w:val="auto"/>
          <w:lang w:val="en-US" w:eastAsia="zh-CN"/>
        </w:rPr>
        <w:t>（2）</w:t>
      </w:r>
      <w:r>
        <w:rPr>
          <w:rFonts w:hint="default"/>
          <w:color w:val="auto"/>
          <w:lang w:val="en-US" w:eastAsia="zh-CN"/>
        </w:rPr>
        <w:t>爆破前，必须按爆破说明书的要求设置爆破警戒，将爆破警戒内人员撤到安全地点，各通道、路口必须有人警戒并设置警戒标识。</w:t>
      </w:r>
    </w:p>
    <w:p w14:paraId="0A490CDC">
      <w:pPr>
        <w:rPr>
          <w:rFonts w:hint="default"/>
          <w:color w:val="auto"/>
          <w:lang w:val="en-US" w:eastAsia="zh-CN"/>
        </w:rPr>
      </w:pPr>
      <w:r>
        <w:rPr>
          <w:rFonts w:hint="eastAsia"/>
          <w:color w:val="auto"/>
          <w:lang w:val="en-US" w:eastAsia="zh-CN"/>
        </w:rPr>
        <w:t>（3）</w:t>
      </w:r>
      <w:r>
        <w:rPr>
          <w:rFonts w:hint="default"/>
          <w:color w:val="auto"/>
          <w:lang w:val="en-US" w:eastAsia="zh-CN"/>
        </w:rPr>
        <w:t>爆后应超过5min，方准许检查人员进入爆破作业地点；如不能确认有无盲炮，应经15min后才能进入爆区检查。</w:t>
      </w:r>
    </w:p>
    <w:p w14:paraId="2DA61487">
      <w:pPr>
        <w:rPr>
          <w:rFonts w:hint="default"/>
          <w:color w:val="auto"/>
          <w:lang w:val="en-US" w:eastAsia="zh-CN"/>
        </w:rPr>
      </w:pPr>
      <w:r>
        <w:rPr>
          <w:rFonts w:hint="eastAsia"/>
          <w:color w:val="auto"/>
          <w:lang w:val="en-US" w:eastAsia="zh-CN"/>
        </w:rPr>
        <w:t>（4）</w:t>
      </w:r>
      <w:r>
        <w:rPr>
          <w:rFonts w:hint="default"/>
          <w:color w:val="auto"/>
          <w:lang w:val="en-US" w:eastAsia="zh-CN"/>
        </w:rPr>
        <w:t>爆破经检查确认爆破点安全后，经当班爆破班长同意，方准许作业人员进入爆区并解除警戒。</w:t>
      </w:r>
    </w:p>
    <w:p w14:paraId="1A7FF90D">
      <w:pPr>
        <w:pStyle w:val="3"/>
        <w:bidi w:val="0"/>
        <w:rPr>
          <w:rFonts w:hint="default"/>
          <w:color w:val="auto"/>
          <w:lang w:val="en-US" w:eastAsia="zh-CN"/>
        </w:rPr>
      </w:pPr>
      <w:bookmarkStart w:id="354" w:name="_Toc22762"/>
      <w:bookmarkStart w:id="355" w:name="_Toc23300"/>
      <w:bookmarkStart w:id="356" w:name="_Toc15217"/>
      <w:r>
        <w:rPr>
          <w:rFonts w:hint="eastAsia"/>
          <w:color w:val="auto"/>
          <w:lang w:val="en-US" w:eastAsia="zh-CN"/>
        </w:rPr>
        <w:t>6.5 供配电设施安全对策措施建议</w:t>
      </w:r>
      <w:bookmarkEnd w:id="354"/>
      <w:bookmarkEnd w:id="355"/>
      <w:bookmarkEnd w:id="356"/>
    </w:p>
    <w:p w14:paraId="5AC21C93">
      <w:pPr>
        <w:bidi w:val="0"/>
        <w:rPr>
          <w:rFonts w:hint="eastAsia"/>
          <w:color w:val="auto"/>
          <w:lang w:val="en-US" w:eastAsia="zh-CN"/>
        </w:rPr>
      </w:pPr>
      <w:r>
        <w:rPr>
          <w:rFonts w:hint="eastAsia"/>
          <w:color w:val="auto"/>
          <w:lang w:val="en-US" w:eastAsia="zh-CN"/>
        </w:rPr>
        <w:t>1. 购置电器设备，尤其是购置专用的安全性要求高的电气设备时，应该到经质量认证的、专门生产该设备的厂家或商店购置，从开始就要保证质量和安全性。</w:t>
      </w:r>
    </w:p>
    <w:p w14:paraId="1C0E19CB">
      <w:pPr>
        <w:bidi w:val="0"/>
        <w:rPr>
          <w:rFonts w:hint="eastAsia"/>
          <w:color w:val="auto"/>
          <w:lang w:val="en-US" w:eastAsia="zh-CN"/>
        </w:rPr>
      </w:pPr>
      <w:r>
        <w:rPr>
          <w:rFonts w:hint="eastAsia"/>
          <w:color w:val="auto"/>
          <w:lang w:val="en-US" w:eastAsia="zh-CN"/>
        </w:rPr>
        <w:t>2. 对特种设备和仪表，以及现有有关设备要按规定请有资格的部门定期进行检验、检测，并出具证明，凡达不到要求指标的应停止使用。</w:t>
      </w:r>
    </w:p>
    <w:p w14:paraId="21766A6F">
      <w:pPr>
        <w:bidi w:val="0"/>
        <w:rPr>
          <w:rFonts w:hint="eastAsia"/>
          <w:color w:val="auto"/>
          <w:lang w:val="en-US" w:eastAsia="zh-CN"/>
        </w:rPr>
      </w:pPr>
      <w:r>
        <w:rPr>
          <w:rFonts w:hint="eastAsia"/>
          <w:color w:val="auto"/>
          <w:lang w:val="en-US" w:eastAsia="zh-CN"/>
        </w:rPr>
        <w:t>3. 应装置避雷针的电器设备，或建筑物都应装避雷针。避雷针的装设应请有资质部门施工，并定期检测，避雷针的电阻要达到规定要求，保证避雷效果，做到安全。</w:t>
      </w:r>
    </w:p>
    <w:p w14:paraId="0CA9C37A">
      <w:pPr>
        <w:bidi w:val="0"/>
        <w:rPr>
          <w:rFonts w:hint="eastAsia"/>
          <w:color w:val="auto"/>
          <w:lang w:val="en-US" w:eastAsia="zh-CN"/>
        </w:rPr>
      </w:pPr>
      <w:r>
        <w:rPr>
          <w:rFonts w:hint="eastAsia"/>
          <w:color w:val="auto"/>
          <w:lang w:val="en-US" w:eastAsia="zh-CN"/>
        </w:rPr>
        <w:t>4. 所有机电设备都应接地，接地方式要符合要求，以防漏电，对人造成伤害。用电线路和装置要经常检查防止“裸露”，及时更换失灵电器保护装置。</w:t>
      </w:r>
    </w:p>
    <w:p w14:paraId="3614AF68">
      <w:pPr>
        <w:bidi w:val="0"/>
        <w:rPr>
          <w:rFonts w:hint="eastAsia"/>
          <w:color w:val="auto"/>
          <w:lang w:val="en-US" w:eastAsia="zh-CN"/>
        </w:rPr>
      </w:pPr>
      <w:r>
        <w:rPr>
          <w:rFonts w:hint="eastAsia"/>
          <w:color w:val="auto"/>
          <w:lang w:val="en-US" w:eastAsia="zh-CN"/>
        </w:rPr>
        <w:t>5. 加强电器设备管理，严格操作规程，禁止违章操作，每班都应有使用运行记录。</w:t>
      </w:r>
    </w:p>
    <w:p w14:paraId="07C6EBA7">
      <w:pPr>
        <w:bidi w:val="0"/>
        <w:rPr>
          <w:rFonts w:hint="eastAsia"/>
          <w:color w:val="auto"/>
          <w:lang w:val="en-US" w:eastAsia="zh-CN"/>
        </w:rPr>
      </w:pPr>
      <w:r>
        <w:rPr>
          <w:rFonts w:hint="eastAsia"/>
          <w:color w:val="auto"/>
          <w:spacing w:val="-6"/>
          <w:sz w:val="28"/>
          <w:lang w:val="en-US" w:eastAsia="zh-CN"/>
        </w:rPr>
        <w:t>6. 重视电器设备的检查、保养、维修工作，要建立制度，检查维修要有准确记录。机电设备检修停、送电时，要执行工作票制度，并派专人看</w:t>
      </w:r>
      <w:r>
        <w:rPr>
          <w:rFonts w:hint="eastAsia"/>
          <w:color w:val="auto"/>
          <w:lang w:val="en-US" w:eastAsia="zh-CN"/>
        </w:rPr>
        <w:t>管。</w:t>
      </w:r>
    </w:p>
    <w:p w14:paraId="245FB69D">
      <w:pPr>
        <w:bidi w:val="0"/>
        <w:rPr>
          <w:rFonts w:hint="eastAsia"/>
          <w:color w:val="auto"/>
          <w:lang w:val="en-US" w:eastAsia="zh-CN"/>
        </w:rPr>
      </w:pPr>
      <w:r>
        <w:rPr>
          <w:rFonts w:hint="eastAsia"/>
          <w:color w:val="auto"/>
          <w:lang w:val="en-US" w:eastAsia="zh-CN"/>
        </w:rPr>
        <w:t>7. 要全面建立警示牌，如变电压要警示高压危险，空压机要挂注意高压，有些地点要挂出“注意烟火，禁止吸烟”、“小心路滑，注意危险”等，提醒人们时刻警惕。</w:t>
      </w:r>
    </w:p>
    <w:p w14:paraId="0AAE32EF">
      <w:pPr>
        <w:pStyle w:val="3"/>
        <w:bidi w:val="0"/>
        <w:rPr>
          <w:rFonts w:hint="default"/>
          <w:color w:val="auto"/>
          <w:lang w:val="en-US" w:eastAsia="zh-CN"/>
        </w:rPr>
      </w:pPr>
      <w:bookmarkStart w:id="357" w:name="_Toc11362"/>
      <w:bookmarkStart w:id="358" w:name="_Toc6342"/>
      <w:bookmarkStart w:id="359" w:name="_Toc690"/>
      <w:r>
        <w:rPr>
          <w:rFonts w:hint="eastAsia"/>
          <w:color w:val="auto"/>
          <w:lang w:val="en-US" w:eastAsia="zh-CN"/>
        </w:rPr>
        <w:t>6.6 防排水与防灭火安全对策措施建议</w:t>
      </w:r>
      <w:bookmarkEnd w:id="357"/>
      <w:bookmarkEnd w:id="358"/>
      <w:bookmarkEnd w:id="359"/>
    </w:p>
    <w:p w14:paraId="1D85C1E8">
      <w:pPr>
        <w:rPr>
          <w:rFonts w:hint="default"/>
          <w:color w:val="auto"/>
          <w:lang w:val="en-US" w:eastAsia="zh-CN"/>
        </w:rPr>
      </w:pPr>
      <w:r>
        <w:rPr>
          <w:rFonts w:hint="default"/>
          <w:color w:val="auto"/>
          <w:lang w:val="en-US" w:eastAsia="zh-CN"/>
        </w:rPr>
        <w:t>1</w:t>
      </w:r>
      <w:r>
        <w:rPr>
          <w:rFonts w:hint="eastAsia"/>
          <w:color w:val="auto"/>
          <w:lang w:val="en-US" w:eastAsia="zh-CN"/>
        </w:rPr>
        <w:t xml:space="preserve">. </w:t>
      </w:r>
      <w:r>
        <w:rPr>
          <w:rFonts w:hint="default"/>
          <w:color w:val="auto"/>
          <w:lang w:val="en-US" w:eastAsia="zh-CN"/>
        </w:rPr>
        <w:t>采场周围截水沟应定期疏通、清理。</w:t>
      </w:r>
    </w:p>
    <w:p w14:paraId="3B78FA5F">
      <w:pPr>
        <w:rPr>
          <w:rFonts w:hint="default"/>
          <w:color w:val="auto"/>
          <w:lang w:val="en-US" w:eastAsia="zh-CN"/>
        </w:rPr>
      </w:pPr>
      <w:r>
        <w:rPr>
          <w:rFonts w:hint="default"/>
          <w:color w:val="auto"/>
          <w:lang w:val="en-US" w:eastAsia="zh-CN"/>
        </w:rPr>
        <w:t>2</w:t>
      </w:r>
      <w:r>
        <w:rPr>
          <w:rFonts w:hint="eastAsia"/>
          <w:color w:val="auto"/>
          <w:lang w:val="en-US" w:eastAsia="zh-CN"/>
        </w:rPr>
        <w:t xml:space="preserve">. </w:t>
      </w:r>
      <w:r>
        <w:rPr>
          <w:rFonts w:hint="default"/>
          <w:color w:val="auto"/>
          <w:lang w:val="en-US" w:eastAsia="zh-CN"/>
        </w:rPr>
        <w:t>排水沟要经常清淤，防止堵塞，保持畅通，防止洪水漫过渠道直接流入采场。</w:t>
      </w:r>
    </w:p>
    <w:p w14:paraId="39ECDFC6">
      <w:pPr>
        <w:rPr>
          <w:rFonts w:hint="default"/>
          <w:color w:val="auto"/>
          <w:lang w:val="en-US" w:eastAsia="zh-CN"/>
        </w:rPr>
      </w:pPr>
      <w:r>
        <w:rPr>
          <w:rFonts w:hint="default"/>
          <w:color w:val="auto"/>
          <w:lang w:val="en-US" w:eastAsia="zh-CN"/>
        </w:rPr>
        <w:t>5</w:t>
      </w:r>
      <w:r>
        <w:rPr>
          <w:rFonts w:hint="eastAsia"/>
          <w:color w:val="auto"/>
          <w:lang w:val="en-US" w:eastAsia="zh-CN"/>
        </w:rPr>
        <w:t xml:space="preserve">. </w:t>
      </w:r>
      <w:r>
        <w:rPr>
          <w:rFonts w:hint="default"/>
          <w:color w:val="auto"/>
          <w:lang w:val="en-US" w:eastAsia="zh-CN"/>
        </w:rPr>
        <w:t>应对容易发生火灾的场所和设备如配电房、生活区、重要采掘设备等处配备足够的消防灭火器材。</w:t>
      </w:r>
    </w:p>
    <w:p w14:paraId="53DC8114">
      <w:pPr>
        <w:rPr>
          <w:rFonts w:hint="default"/>
          <w:color w:val="auto"/>
          <w:lang w:val="en-US" w:eastAsia="zh-CN"/>
        </w:rPr>
      </w:pPr>
      <w:r>
        <w:rPr>
          <w:rFonts w:hint="default"/>
          <w:color w:val="auto"/>
          <w:lang w:val="en-US" w:eastAsia="zh-CN"/>
        </w:rPr>
        <w:t>6</w:t>
      </w:r>
      <w:r>
        <w:rPr>
          <w:rFonts w:hint="eastAsia"/>
          <w:color w:val="auto"/>
          <w:lang w:val="en-US" w:eastAsia="zh-CN"/>
        </w:rPr>
        <w:t xml:space="preserve">. </w:t>
      </w:r>
      <w:r>
        <w:rPr>
          <w:rFonts w:hint="default"/>
          <w:color w:val="auto"/>
          <w:lang w:val="en-US" w:eastAsia="zh-CN"/>
        </w:rPr>
        <w:t>本矿山矿岩本身无可燃性，采场发生火灾的可能性较低，但由于矿山地处林区植被发育，发生森林火灾可能性大，要加强防火意识的宣传、教育，并采取以下预防措施：</w:t>
      </w:r>
    </w:p>
    <w:p w14:paraId="2AFDC0D3">
      <w:pPr>
        <w:rPr>
          <w:rFonts w:hint="default"/>
          <w:color w:val="auto"/>
          <w:lang w:val="en-US" w:eastAsia="zh-CN"/>
        </w:rPr>
      </w:pPr>
      <w:r>
        <w:rPr>
          <w:rFonts w:hint="eastAsia"/>
          <w:color w:val="auto"/>
          <w:lang w:val="en-US" w:eastAsia="zh-CN"/>
        </w:rPr>
        <w:t>（</w:t>
      </w:r>
      <w:r>
        <w:rPr>
          <w:rFonts w:hint="default"/>
          <w:color w:val="auto"/>
          <w:lang w:val="en-US" w:eastAsia="zh-CN"/>
        </w:rPr>
        <w:t>1）尽量减少可燃物的存在，各建构筑物尽量采用阻燃材料。</w:t>
      </w:r>
    </w:p>
    <w:p w14:paraId="0C7E7314">
      <w:pPr>
        <w:rPr>
          <w:rFonts w:hint="default"/>
          <w:color w:val="auto"/>
          <w:lang w:val="en-US" w:eastAsia="zh-CN"/>
        </w:rPr>
      </w:pPr>
      <w:r>
        <w:rPr>
          <w:rFonts w:hint="eastAsia"/>
          <w:color w:val="auto"/>
          <w:lang w:val="en-US" w:eastAsia="zh-CN"/>
        </w:rPr>
        <w:t>（</w:t>
      </w:r>
      <w:r>
        <w:rPr>
          <w:rFonts w:hint="default"/>
          <w:color w:val="auto"/>
          <w:lang w:val="en-US" w:eastAsia="zh-CN"/>
        </w:rPr>
        <w:t>2）杜绝违章作业。对易燃易爆物品采取了专门的运送、保管、分发和使用的措施，配备消防设施。</w:t>
      </w:r>
    </w:p>
    <w:p w14:paraId="0578427F">
      <w:pPr>
        <w:rPr>
          <w:rFonts w:hint="default"/>
          <w:color w:val="auto"/>
          <w:lang w:val="en-US" w:eastAsia="zh-CN"/>
        </w:rPr>
      </w:pPr>
    </w:p>
    <w:p w14:paraId="2B8DB2A7">
      <w:pPr>
        <w:rPr>
          <w:rFonts w:hint="default"/>
          <w:color w:val="auto"/>
          <w:lang w:val="en-US" w:eastAsia="zh-CN"/>
        </w:rPr>
      </w:pPr>
      <w:r>
        <w:rPr>
          <w:rFonts w:hint="default"/>
          <w:color w:val="auto"/>
          <w:lang w:val="en-US" w:eastAsia="zh-CN"/>
        </w:rPr>
        <w:br w:type="page"/>
      </w:r>
    </w:p>
    <w:p w14:paraId="78384D9D">
      <w:pPr>
        <w:pStyle w:val="2"/>
        <w:numPr>
          <w:ilvl w:val="0"/>
          <w:numId w:val="1"/>
        </w:numPr>
        <w:bidi w:val="0"/>
        <w:ind w:left="0" w:leftChars="0" w:firstLine="0" w:firstLineChars="0"/>
        <w:rPr>
          <w:rFonts w:hint="default" w:ascii="Times New Roman" w:hAnsi="Times New Roman" w:cs="Times New Roman"/>
          <w:color w:val="auto"/>
          <w:lang w:val="en-US" w:eastAsia="zh-CN"/>
        </w:rPr>
      </w:pPr>
      <w:bookmarkStart w:id="360" w:name="_Toc1108"/>
      <w:bookmarkStart w:id="361" w:name="_Toc24513"/>
      <w:bookmarkStart w:id="362" w:name="_Toc22651"/>
      <w:r>
        <w:rPr>
          <w:rFonts w:hint="default" w:ascii="Times New Roman" w:hAnsi="Times New Roman" w:cs="Times New Roman"/>
          <w:color w:val="auto"/>
          <w:lang w:val="en-US" w:eastAsia="zh-CN"/>
        </w:rPr>
        <w:t>评价结论</w:t>
      </w:r>
      <w:bookmarkEnd w:id="360"/>
      <w:bookmarkEnd w:id="361"/>
      <w:bookmarkEnd w:id="362"/>
    </w:p>
    <w:p w14:paraId="61AC982A">
      <w:pPr>
        <w:pageBreakBefore w:val="0"/>
        <w:widowControl w:val="0"/>
        <w:kinsoku/>
        <w:wordWrap/>
        <w:overflowPunct/>
        <w:topLinePunct w:val="0"/>
        <w:autoSpaceDE/>
        <w:autoSpaceDN/>
        <w:bidi w:val="0"/>
        <w:adjustRightInd/>
        <w:snapToGrid/>
        <w:spacing w:line="353" w:lineRule="auto"/>
        <w:textAlignment w:val="auto"/>
        <w:rPr>
          <w:rFonts w:hint="default"/>
          <w:color w:val="auto"/>
          <w:lang w:val="en-US" w:eastAsia="zh-CN"/>
        </w:rPr>
      </w:pPr>
      <w:r>
        <w:rPr>
          <w:rFonts w:hint="eastAsia"/>
          <w:color w:val="auto"/>
          <w:lang w:val="en-US" w:eastAsia="zh-CN"/>
        </w:rPr>
        <w:t>本次</w:t>
      </w:r>
      <w:r>
        <w:rPr>
          <w:rFonts w:hint="default"/>
          <w:color w:val="auto"/>
          <w:lang w:val="en-US" w:eastAsia="zh-CN"/>
        </w:rPr>
        <w:t>安全现状评价是根据国家颁布的有关安全生产法律、法规及相关文件规定，本着科学、公正、合法、自主的原则，对江西省坤育矿业有限公司德安县聂桥镇刘家山矿区建筑用辉绿岩矿评价开采工程安全管理的适宜性及生产场所安全设施等是否符合国家相关法律法规与标准的要求，运用安全检查表和作业条件危险性分析评价法等对该项目进行安全现状评价，评价结论如下</w:t>
      </w:r>
      <w:r>
        <w:rPr>
          <w:rFonts w:hint="eastAsia"/>
          <w:color w:val="auto"/>
          <w:lang w:val="en-US" w:eastAsia="zh-CN"/>
        </w:rPr>
        <w:t>：</w:t>
      </w:r>
    </w:p>
    <w:p w14:paraId="4193C03C">
      <w:pPr>
        <w:pStyle w:val="3"/>
        <w:pageBreakBefore w:val="0"/>
        <w:widowControl w:val="0"/>
        <w:kinsoku/>
        <w:wordWrap/>
        <w:overflowPunct/>
        <w:topLinePunct w:val="0"/>
        <w:autoSpaceDE/>
        <w:autoSpaceDN/>
        <w:bidi w:val="0"/>
        <w:adjustRightInd/>
        <w:snapToGrid/>
        <w:spacing w:line="353" w:lineRule="auto"/>
        <w:textAlignment w:val="auto"/>
        <w:rPr>
          <w:rFonts w:hint="default"/>
          <w:color w:val="auto"/>
          <w:lang w:val="en-US" w:eastAsia="zh-CN"/>
        </w:rPr>
      </w:pPr>
      <w:bookmarkStart w:id="363" w:name="_Toc5437"/>
      <w:bookmarkStart w:id="364" w:name="_Toc437"/>
      <w:bookmarkStart w:id="365" w:name="_Toc26579"/>
      <w:r>
        <w:rPr>
          <w:rFonts w:hint="default"/>
          <w:color w:val="auto"/>
          <w:lang w:val="en-US" w:eastAsia="zh-CN"/>
        </w:rPr>
        <w:t>7.1</w:t>
      </w:r>
      <w:r>
        <w:rPr>
          <w:rFonts w:hint="eastAsia"/>
          <w:color w:val="auto"/>
          <w:lang w:val="en-US" w:eastAsia="zh-CN"/>
        </w:rPr>
        <w:t xml:space="preserve"> </w:t>
      </w:r>
      <w:r>
        <w:rPr>
          <w:rFonts w:hint="default"/>
          <w:color w:val="auto"/>
          <w:lang w:val="en-US" w:eastAsia="zh-CN"/>
        </w:rPr>
        <w:t>矿山存在的主要危险、有害因素</w:t>
      </w:r>
      <w:bookmarkEnd w:id="363"/>
      <w:bookmarkEnd w:id="364"/>
      <w:bookmarkEnd w:id="365"/>
    </w:p>
    <w:p w14:paraId="5DFB54C8">
      <w:pPr>
        <w:pageBreakBefore w:val="0"/>
        <w:widowControl w:val="0"/>
        <w:kinsoku/>
        <w:wordWrap/>
        <w:overflowPunct/>
        <w:topLinePunct w:val="0"/>
        <w:autoSpaceDE/>
        <w:autoSpaceDN/>
        <w:bidi w:val="0"/>
        <w:adjustRightInd/>
        <w:snapToGrid/>
        <w:spacing w:line="353" w:lineRule="auto"/>
        <w:textAlignment w:val="auto"/>
        <w:rPr>
          <w:rFonts w:hint="default"/>
          <w:color w:val="auto"/>
          <w:lang w:val="en-US" w:eastAsia="zh-CN"/>
        </w:rPr>
      </w:pPr>
      <w:r>
        <w:rPr>
          <w:rFonts w:hint="default"/>
          <w:color w:val="auto"/>
          <w:lang w:val="en-US" w:eastAsia="zh-CN"/>
        </w:rPr>
        <w:t>1</w:t>
      </w:r>
      <w:r>
        <w:rPr>
          <w:rFonts w:hint="eastAsia"/>
          <w:color w:val="auto"/>
          <w:lang w:val="en-US" w:eastAsia="zh-CN"/>
        </w:rPr>
        <w:t xml:space="preserve">. </w:t>
      </w:r>
      <w:r>
        <w:rPr>
          <w:rFonts w:hint="default"/>
          <w:color w:val="auto"/>
          <w:lang w:val="en-US" w:eastAsia="zh-CN"/>
        </w:rPr>
        <w:t>德安县聂桥镇刘家山矿区建筑用辉绿岩矿露天开采工程潜在的主要危险、有害因素有</w:t>
      </w:r>
      <w:r>
        <w:rPr>
          <w:rFonts w:hint="eastAsia"/>
          <w:color w:val="auto"/>
          <w:lang w:val="en-US" w:eastAsia="zh-CN"/>
        </w:rPr>
        <w:t>：</w:t>
      </w:r>
      <w:r>
        <w:rPr>
          <w:rFonts w:hint="default"/>
          <w:color w:val="auto"/>
          <w:lang w:val="en-US" w:eastAsia="zh-CN"/>
        </w:rPr>
        <w:t>火药爆炸、放炮、容器爆炸、坍塌、滑坡、机械伤害、火灾、高处坠落、物体打击、车辆伤害、触电、</w:t>
      </w:r>
      <w:r>
        <w:rPr>
          <w:rFonts w:hint="eastAsia"/>
          <w:color w:val="auto"/>
          <w:lang w:val="en-US" w:eastAsia="zh-CN"/>
        </w:rPr>
        <w:t>雷击</w:t>
      </w:r>
      <w:r>
        <w:rPr>
          <w:rFonts w:hint="default"/>
          <w:color w:val="auto"/>
          <w:lang w:val="en-US" w:eastAsia="zh-CN"/>
        </w:rPr>
        <w:t>、粉尘、噪声与振动、高低温</w:t>
      </w:r>
      <w:r>
        <w:rPr>
          <w:rFonts w:hint="eastAsia"/>
          <w:color w:val="auto"/>
          <w:lang w:val="en-US" w:eastAsia="zh-CN"/>
        </w:rPr>
        <w:t>等</w:t>
      </w:r>
      <w:r>
        <w:rPr>
          <w:rFonts w:hint="default"/>
          <w:color w:val="auto"/>
          <w:lang w:val="en-US" w:eastAsia="zh-CN"/>
        </w:rPr>
        <w:t>。</w:t>
      </w:r>
    </w:p>
    <w:p w14:paraId="56D28571">
      <w:pPr>
        <w:pageBreakBefore w:val="0"/>
        <w:widowControl w:val="0"/>
        <w:kinsoku/>
        <w:wordWrap/>
        <w:overflowPunct/>
        <w:topLinePunct w:val="0"/>
        <w:autoSpaceDE/>
        <w:autoSpaceDN/>
        <w:bidi w:val="0"/>
        <w:adjustRightInd/>
        <w:snapToGrid/>
        <w:spacing w:line="353" w:lineRule="auto"/>
        <w:textAlignment w:val="auto"/>
        <w:rPr>
          <w:rFonts w:hint="default"/>
          <w:color w:val="auto"/>
          <w:lang w:val="en-US" w:eastAsia="zh-CN"/>
        </w:rPr>
      </w:pPr>
      <w:r>
        <w:rPr>
          <w:rFonts w:hint="default"/>
          <w:color w:val="auto"/>
          <w:lang w:val="en-US" w:eastAsia="zh-CN"/>
        </w:rPr>
        <w:t>2</w:t>
      </w:r>
      <w:r>
        <w:rPr>
          <w:rFonts w:hint="eastAsia"/>
          <w:color w:val="auto"/>
          <w:lang w:val="en-US" w:eastAsia="zh-CN"/>
        </w:rPr>
        <w:t>. 本</w:t>
      </w:r>
      <w:r>
        <w:rPr>
          <w:rFonts w:hint="default"/>
          <w:color w:val="auto"/>
          <w:lang w:val="en-US" w:eastAsia="zh-CN"/>
        </w:rPr>
        <w:t>矿山</w:t>
      </w:r>
      <w:r>
        <w:rPr>
          <w:rFonts w:hint="eastAsia"/>
          <w:color w:val="auto"/>
          <w:lang w:val="en-US" w:eastAsia="zh-CN"/>
        </w:rPr>
        <w:t>应重点防范的重大危险、有害因素：</w:t>
      </w:r>
      <w:r>
        <w:rPr>
          <w:rFonts w:hint="default"/>
          <w:color w:val="auto"/>
          <w:lang w:val="en-US" w:eastAsia="zh-CN"/>
        </w:rPr>
        <w:t>高处坠落</w:t>
      </w:r>
      <w:r>
        <w:rPr>
          <w:rFonts w:hint="eastAsia"/>
          <w:color w:val="auto"/>
          <w:lang w:val="en-US" w:eastAsia="zh-CN"/>
        </w:rPr>
        <w:t>、</w:t>
      </w:r>
      <w:r>
        <w:rPr>
          <w:rFonts w:hint="default"/>
          <w:color w:val="auto"/>
          <w:lang w:val="en-US" w:eastAsia="zh-CN"/>
        </w:rPr>
        <w:t>放炮与火药爆炸、坍塌、车辆伤害、触电。</w:t>
      </w:r>
    </w:p>
    <w:p w14:paraId="0A8CFB46">
      <w:pPr>
        <w:pageBreakBefore w:val="0"/>
        <w:widowControl w:val="0"/>
        <w:kinsoku/>
        <w:wordWrap/>
        <w:overflowPunct/>
        <w:topLinePunct w:val="0"/>
        <w:autoSpaceDE/>
        <w:autoSpaceDN/>
        <w:bidi w:val="0"/>
        <w:adjustRightInd/>
        <w:snapToGrid/>
        <w:spacing w:line="353" w:lineRule="auto"/>
        <w:textAlignment w:val="auto"/>
        <w:rPr>
          <w:rFonts w:hint="default"/>
          <w:color w:val="auto"/>
          <w:lang w:val="en-US" w:eastAsia="zh-CN"/>
        </w:rPr>
      </w:pPr>
      <w:r>
        <w:rPr>
          <w:rFonts w:hint="eastAsia"/>
          <w:color w:val="auto"/>
          <w:lang w:val="en-US" w:eastAsia="zh-CN"/>
        </w:rPr>
        <w:t>3. 本</w:t>
      </w:r>
      <w:r>
        <w:rPr>
          <w:rFonts w:hint="default"/>
          <w:color w:val="auto"/>
          <w:lang w:val="en-US" w:eastAsia="zh-CN"/>
        </w:rPr>
        <w:t>矿山不涉及危险化学品重大危险源。</w:t>
      </w:r>
    </w:p>
    <w:p w14:paraId="03E28889">
      <w:pPr>
        <w:pStyle w:val="3"/>
        <w:pageBreakBefore w:val="0"/>
        <w:widowControl w:val="0"/>
        <w:kinsoku/>
        <w:wordWrap/>
        <w:overflowPunct/>
        <w:topLinePunct w:val="0"/>
        <w:autoSpaceDE/>
        <w:autoSpaceDN/>
        <w:bidi w:val="0"/>
        <w:adjustRightInd/>
        <w:snapToGrid/>
        <w:spacing w:line="353" w:lineRule="auto"/>
        <w:textAlignment w:val="auto"/>
        <w:rPr>
          <w:rFonts w:hint="default"/>
          <w:color w:val="auto"/>
          <w:lang w:val="en-US" w:eastAsia="zh-CN"/>
        </w:rPr>
      </w:pPr>
      <w:bookmarkStart w:id="366" w:name="_Toc25121"/>
      <w:bookmarkStart w:id="367" w:name="_Toc17699"/>
      <w:bookmarkStart w:id="368" w:name="_Toc8049"/>
      <w:r>
        <w:rPr>
          <w:rFonts w:hint="eastAsia"/>
          <w:color w:val="auto"/>
          <w:lang w:val="en-US" w:eastAsia="zh-CN"/>
        </w:rPr>
        <w:t>7.2 各单元评价结果</w:t>
      </w:r>
      <w:bookmarkEnd w:id="366"/>
      <w:bookmarkEnd w:id="367"/>
      <w:bookmarkEnd w:id="368"/>
    </w:p>
    <w:p w14:paraId="290AA6B3">
      <w:pPr>
        <w:pageBreakBefore w:val="0"/>
        <w:widowControl w:val="0"/>
        <w:kinsoku/>
        <w:wordWrap/>
        <w:overflowPunct/>
        <w:topLinePunct w:val="0"/>
        <w:autoSpaceDE/>
        <w:autoSpaceDN/>
        <w:bidi w:val="0"/>
        <w:adjustRightInd/>
        <w:snapToGrid/>
        <w:spacing w:line="353" w:lineRule="auto"/>
        <w:textAlignment w:val="auto"/>
        <w:rPr>
          <w:rFonts w:hint="default"/>
          <w:color w:val="auto"/>
          <w:lang w:val="en-US" w:eastAsia="zh-CN"/>
        </w:rPr>
      </w:pPr>
      <w:r>
        <w:rPr>
          <w:rFonts w:hint="default"/>
          <w:color w:val="auto"/>
          <w:lang w:val="en-US" w:eastAsia="zh-CN"/>
        </w:rPr>
        <w:t>通过符合性评价可得</w:t>
      </w:r>
      <w:r>
        <w:rPr>
          <w:rFonts w:hint="eastAsia"/>
          <w:color w:val="auto"/>
          <w:lang w:val="en-US" w:eastAsia="zh-CN"/>
        </w:rPr>
        <w:t>：</w:t>
      </w:r>
    </w:p>
    <w:p w14:paraId="45916708">
      <w:pPr>
        <w:pageBreakBefore w:val="0"/>
        <w:widowControl w:val="0"/>
        <w:kinsoku/>
        <w:wordWrap/>
        <w:overflowPunct/>
        <w:topLinePunct w:val="0"/>
        <w:autoSpaceDE/>
        <w:autoSpaceDN/>
        <w:bidi w:val="0"/>
        <w:adjustRightInd/>
        <w:snapToGrid/>
        <w:spacing w:line="353" w:lineRule="auto"/>
        <w:textAlignment w:val="auto"/>
        <w:rPr>
          <w:rFonts w:hint="default"/>
          <w:color w:val="auto"/>
          <w:lang w:val="en-US" w:eastAsia="zh-CN"/>
        </w:rPr>
      </w:pPr>
      <w:r>
        <w:rPr>
          <w:rFonts w:hint="default"/>
          <w:color w:val="auto"/>
          <w:lang w:val="en-US" w:eastAsia="zh-CN"/>
        </w:rPr>
        <w:t>1</w:t>
      </w:r>
      <w:r>
        <w:rPr>
          <w:rFonts w:hint="eastAsia"/>
          <w:color w:val="auto"/>
          <w:lang w:val="en-US" w:eastAsia="zh-CN"/>
        </w:rPr>
        <w:t xml:space="preserve">. </w:t>
      </w:r>
      <w:r>
        <w:rPr>
          <w:rFonts w:hint="default"/>
          <w:color w:val="auto"/>
          <w:lang w:val="en-US" w:eastAsia="zh-CN"/>
        </w:rPr>
        <w:t>本评价项目</w:t>
      </w:r>
      <w:r>
        <w:rPr>
          <w:rFonts w:hint="eastAsia"/>
          <w:color w:val="auto"/>
          <w:lang w:val="en-US" w:eastAsia="zh-CN"/>
        </w:rPr>
        <w:t>所有</w:t>
      </w:r>
      <w:r>
        <w:rPr>
          <w:rFonts w:hint="default"/>
          <w:color w:val="auto"/>
          <w:lang w:val="en-US" w:eastAsia="zh-CN"/>
        </w:rPr>
        <w:t>否决项的检查结论均为合格</w:t>
      </w:r>
      <w:r>
        <w:rPr>
          <w:rFonts w:hint="eastAsia"/>
          <w:color w:val="auto"/>
          <w:lang w:val="en-US" w:eastAsia="zh-CN"/>
        </w:rPr>
        <w:t>，</w:t>
      </w:r>
      <w:r>
        <w:rPr>
          <w:rFonts w:hint="default"/>
          <w:color w:val="auto"/>
          <w:lang w:val="en-US" w:eastAsia="zh-CN"/>
        </w:rPr>
        <w:t>表明</w:t>
      </w:r>
      <w:r>
        <w:rPr>
          <w:rFonts w:hint="eastAsia"/>
          <w:color w:val="auto"/>
          <w:lang w:val="en-US" w:eastAsia="zh-CN"/>
        </w:rPr>
        <w:t>该</w:t>
      </w:r>
      <w:r>
        <w:rPr>
          <w:rFonts w:hint="default"/>
          <w:color w:val="auto"/>
          <w:lang w:val="en-US" w:eastAsia="zh-CN"/>
        </w:rPr>
        <w:t>企业符合安全生产的前置条件。</w:t>
      </w:r>
    </w:p>
    <w:p w14:paraId="041C2D8F">
      <w:pPr>
        <w:pageBreakBefore w:val="0"/>
        <w:widowControl w:val="0"/>
        <w:kinsoku/>
        <w:wordWrap/>
        <w:overflowPunct/>
        <w:topLinePunct w:val="0"/>
        <w:autoSpaceDE/>
        <w:autoSpaceDN/>
        <w:bidi w:val="0"/>
        <w:adjustRightInd/>
        <w:snapToGrid/>
        <w:spacing w:line="353" w:lineRule="auto"/>
        <w:textAlignment w:val="auto"/>
        <w:rPr>
          <w:rFonts w:hint="default"/>
          <w:b w:val="0"/>
          <w:bCs w:val="0"/>
          <w:color w:val="auto"/>
          <w:lang w:val="en-US" w:eastAsia="zh-CN"/>
        </w:rPr>
      </w:pPr>
      <w:r>
        <w:rPr>
          <w:rFonts w:hint="default"/>
          <w:color w:val="auto"/>
          <w:lang w:val="en-US" w:eastAsia="zh-CN"/>
        </w:rPr>
        <w:t>2</w:t>
      </w:r>
      <w:r>
        <w:rPr>
          <w:rFonts w:hint="eastAsia"/>
          <w:color w:val="auto"/>
          <w:lang w:val="en-US" w:eastAsia="zh-CN"/>
        </w:rPr>
        <w:t xml:space="preserve">. </w:t>
      </w:r>
      <w:r>
        <w:rPr>
          <w:rFonts w:hint="default"/>
          <w:color w:val="auto"/>
          <w:lang w:val="en-US" w:eastAsia="zh-CN"/>
        </w:rPr>
        <w:t>安全管理单元</w:t>
      </w:r>
      <w:r>
        <w:rPr>
          <w:rFonts w:hint="eastAsia"/>
          <w:color w:val="auto"/>
          <w:lang w:val="en-US" w:eastAsia="zh-CN"/>
        </w:rPr>
        <w:t>：</w:t>
      </w:r>
      <w:r>
        <w:rPr>
          <w:rFonts w:hint="default"/>
          <w:color w:val="auto"/>
          <w:lang w:val="en-US" w:eastAsia="zh-CN"/>
        </w:rPr>
        <w:t>得分率为</w:t>
      </w:r>
      <w:r>
        <w:rPr>
          <w:rFonts w:hint="eastAsia"/>
          <w:b w:val="0"/>
          <w:bCs w:val="0"/>
          <w:color w:val="auto"/>
          <w:lang w:val="en-US" w:eastAsia="zh-CN"/>
        </w:rPr>
        <w:t>86.67</w:t>
      </w:r>
      <w:r>
        <w:rPr>
          <w:rFonts w:hint="default"/>
          <w:b w:val="0"/>
          <w:bCs w:val="0"/>
          <w:color w:val="auto"/>
          <w:lang w:val="en-US" w:eastAsia="zh-CN"/>
        </w:rPr>
        <w:t>%</w:t>
      </w:r>
      <w:r>
        <w:rPr>
          <w:rFonts w:hint="default"/>
          <w:color w:val="auto"/>
          <w:lang w:val="en-US" w:eastAsia="zh-CN"/>
        </w:rPr>
        <w:t>。</w:t>
      </w:r>
      <w:r>
        <w:rPr>
          <w:rFonts w:hint="default"/>
          <w:b w:val="0"/>
          <w:bCs w:val="0"/>
          <w:color w:val="auto"/>
          <w:lang w:val="en-US" w:eastAsia="zh-CN"/>
        </w:rPr>
        <w:t>存在的主要问题</w:t>
      </w:r>
      <w:r>
        <w:rPr>
          <w:rFonts w:hint="eastAsia"/>
          <w:b w:val="0"/>
          <w:bCs w:val="0"/>
          <w:color w:val="auto"/>
          <w:lang w:val="en-US" w:eastAsia="zh-CN"/>
        </w:rPr>
        <w:t>：</w:t>
      </w:r>
      <w:r>
        <w:rPr>
          <w:rFonts w:hint="default"/>
          <w:b w:val="0"/>
          <w:bCs w:val="0"/>
          <w:color w:val="auto"/>
          <w:lang w:val="en-US" w:eastAsia="zh-CN"/>
        </w:rPr>
        <w:t>1</w:t>
      </w:r>
      <w:r>
        <w:rPr>
          <w:rFonts w:hint="eastAsia"/>
          <w:b w:val="0"/>
          <w:bCs w:val="0"/>
          <w:color w:val="auto"/>
          <w:lang w:val="en-US" w:eastAsia="zh-CN"/>
        </w:rPr>
        <w:t>）</w:t>
      </w:r>
      <w:r>
        <w:rPr>
          <w:rFonts w:hint="default"/>
          <w:b w:val="0"/>
          <w:bCs w:val="0"/>
          <w:color w:val="auto"/>
          <w:lang w:val="en-US" w:eastAsia="zh-CN"/>
        </w:rPr>
        <w:t>未配备地质专业的技术人员</w:t>
      </w:r>
      <w:r>
        <w:rPr>
          <w:rFonts w:hint="eastAsia"/>
          <w:b w:val="0"/>
          <w:bCs w:val="0"/>
          <w:color w:val="auto"/>
          <w:lang w:val="en-US" w:eastAsia="zh-CN"/>
        </w:rPr>
        <w:t>；2）</w:t>
      </w:r>
      <w:r>
        <w:rPr>
          <w:rFonts w:hint="default"/>
          <w:b w:val="0"/>
          <w:bCs w:val="0"/>
          <w:color w:val="auto"/>
          <w:lang w:val="en-US" w:eastAsia="zh-CN"/>
        </w:rPr>
        <w:t>安全生产规章制度不齐全</w:t>
      </w:r>
      <w:r>
        <w:rPr>
          <w:rFonts w:hint="eastAsia"/>
          <w:b w:val="0"/>
          <w:bCs w:val="0"/>
          <w:color w:val="auto"/>
          <w:lang w:val="en-US" w:eastAsia="zh-CN"/>
        </w:rPr>
        <w:t>；</w:t>
      </w:r>
      <w:r>
        <w:rPr>
          <w:rFonts w:hint="default"/>
          <w:b w:val="0"/>
          <w:bCs w:val="0"/>
          <w:color w:val="auto"/>
          <w:lang w:val="en-US" w:eastAsia="zh-CN"/>
        </w:rPr>
        <w:t>3</w:t>
      </w:r>
      <w:r>
        <w:rPr>
          <w:rFonts w:hint="eastAsia"/>
          <w:b w:val="0"/>
          <w:bCs w:val="0"/>
          <w:color w:val="auto"/>
          <w:lang w:val="en-US" w:eastAsia="zh-CN"/>
        </w:rPr>
        <w:t>）</w:t>
      </w:r>
      <w:r>
        <w:rPr>
          <w:rFonts w:hint="default"/>
          <w:b w:val="0"/>
          <w:bCs w:val="0"/>
          <w:color w:val="auto"/>
          <w:lang w:val="en-US" w:eastAsia="zh-CN"/>
        </w:rPr>
        <w:t>未见相关实物发票</w:t>
      </w:r>
      <w:r>
        <w:rPr>
          <w:rFonts w:hint="eastAsia"/>
          <w:b w:val="0"/>
          <w:bCs w:val="0"/>
          <w:color w:val="auto"/>
          <w:lang w:val="en-US" w:eastAsia="zh-CN"/>
        </w:rPr>
        <w:t>；4）保险人数与实际人数不相符</w:t>
      </w:r>
      <w:r>
        <w:rPr>
          <w:rFonts w:hint="default"/>
          <w:b w:val="0"/>
          <w:bCs w:val="0"/>
          <w:color w:val="auto"/>
          <w:lang w:val="en-US" w:eastAsia="zh-CN"/>
        </w:rPr>
        <w:t>。</w:t>
      </w:r>
    </w:p>
    <w:p w14:paraId="648EE1CF">
      <w:pPr>
        <w:pageBreakBefore w:val="0"/>
        <w:widowControl w:val="0"/>
        <w:kinsoku/>
        <w:wordWrap/>
        <w:overflowPunct/>
        <w:topLinePunct w:val="0"/>
        <w:autoSpaceDE/>
        <w:autoSpaceDN/>
        <w:bidi w:val="0"/>
        <w:adjustRightInd/>
        <w:snapToGrid/>
        <w:spacing w:line="353" w:lineRule="auto"/>
        <w:textAlignment w:val="auto"/>
        <w:rPr>
          <w:rFonts w:hint="default"/>
          <w:color w:val="auto"/>
          <w:lang w:val="en-US" w:eastAsia="zh-CN"/>
        </w:rPr>
      </w:pPr>
      <w:r>
        <w:rPr>
          <w:rFonts w:hint="default"/>
          <w:color w:val="auto"/>
          <w:lang w:val="en-US" w:eastAsia="zh-CN"/>
        </w:rPr>
        <w:t>3</w:t>
      </w:r>
      <w:r>
        <w:rPr>
          <w:rFonts w:hint="eastAsia"/>
          <w:color w:val="auto"/>
          <w:lang w:val="en-US" w:eastAsia="zh-CN"/>
        </w:rPr>
        <w:t xml:space="preserve">. </w:t>
      </w:r>
      <w:r>
        <w:rPr>
          <w:rFonts w:hint="default"/>
          <w:color w:val="auto"/>
          <w:lang w:val="en-US" w:eastAsia="zh-CN"/>
        </w:rPr>
        <w:t>露天采场单元</w:t>
      </w:r>
      <w:r>
        <w:rPr>
          <w:rFonts w:hint="eastAsia"/>
          <w:color w:val="auto"/>
          <w:lang w:val="en-US" w:eastAsia="zh-CN"/>
        </w:rPr>
        <w:t>：</w:t>
      </w:r>
      <w:r>
        <w:rPr>
          <w:rFonts w:hint="default"/>
          <w:color w:val="auto"/>
          <w:lang w:val="en-US" w:eastAsia="zh-CN"/>
        </w:rPr>
        <w:t>得分率为</w:t>
      </w:r>
      <w:r>
        <w:rPr>
          <w:rFonts w:hint="eastAsia"/>
          <w:color w:val="auto"/>
          <w:lang w:val="en-US" w:eastAsia="zh-CN"/>
        </w:rPr>
        <w:t>95.26</w:t>
      </w:r>
      <w:r>
        <w:rPr>
          <w:rFonts w:hint="default"/>
          <w:color w:val="auto"/>
          <w:lang w:val="en-US" w:eastAsia="zh-CN"/>
        </w:rPr>
        <w:t>%。存在的主要问题</w:t>
      </w:r>
      <w:r>
        <w:rPr>
          <w:rFonts w:hint="eastAsia"/>
          <w:color w:val="auto"/>
          <w:lang w:val="en-US" w:eastAsia="zh-CN"/>
        </w:rPr>
        <w:t>：1）</w:t>
      </w:r>
      <w:r>
        <w:rPr>
          <w:rFonts w:hint="default"/>
          <w:color w:val="auto"/>
          <w:lang w:val="en-US" w:eastAsia="zh-CN"/>
        </w:rPr>
        <w:t>图纸不齐全</w:t>
      </w:r>
      <w:r>
        <w:rPr>
          <w:rFonts w:hint="eastAsia" w:ascii="宋体" w:hAnsi="宋体" w:eastAsia="宋体" w:cs="宋体"/>
          <w:color w:val="auto"/>
          <w:lang w:val="en-US" w:eastAsia="zh-CN"/>
        </w:rPr>
        <w:t>；</w:t>
      </w:r>
      <w:r>
        <w:rPr>
          <w:rFonts w:hint="eastAsia"/>
          <w:color w:val="auto"/>
          <w:lang w:val="en-US" w:eastAsia="zh-CN"/>
        </w:rPr>
        <w:t>2）</w:t>
      </w:r>
      <w:r>
        <w:rPr>
          <w:rFonts w:hint="default"/>
          <w:color w:val="auto"/>
          <w:lang w:val="en-US" w:eastAsia="zh-CN"/>
        </w:rPr>
        <w:t>安全警示标志牌不足。</w:t>
      </w:r>
    </w:p>
    <w:p w14:paraId="6BC3AD49">
      <w:pPr>
        <w:pageBreakBefore w:val="0"/>
        <w:widowControl w:val="0"/>
        <w:kinsoku/>
        <w:wordWrap/>
        <w:overflowPunct/>
        <w:topLinePunct w:val="0"/>
        <w:autoSpaceDE/>
        <w:autoSpaceDN/>
        <w:bidi w:val="0"/>
        <w:adjustRightInd/>
        <w:snapToGrid/>
        <w:spacing w:line="353" w:lineRule="auto"/>
        <w:textAlignment w:val="auto"/>
        <w:rPr>
          <w:rFonts w:hint="default"/>
          <w:color w:val="auto"/>
          <w:lang w:val="en-US" w:eastAsia="zh-CN"/>
        </w:rPr>
      </w:pPr>
      <w:r>
        <w:rPr>
          <w:rFonts w:hint="default"/>
          <w:color w:val="auto"/>
          <w:lang w:val="en-US" w:eastAsia="zh-CN"/>
        </w:rPr>
        <w:t>4</w:t>
      </w:r>
      <w:r>
        <w:rPr>
          <w:rFonts w:hint="eastAsia"/>
          <w:color w:val="auto"/>
          <w:lang w:val="en-US" w:eastAsia="zh-CN"/>
        </w:rPr>
        <w:t xml:space="preserve">. </w:t>
      </w:r>
      <w:r>
        <w:rPr>
          <w:rFonts w:hint="default"/>
          <w:color w:val="auto"/>
          <w:lang w:val="en-US" w:eastAsia="zh-CN"/>
        </w:rPr>
        <w:t>边坡管理单元</w:t>
      </w:r>
      <w:r>
        <w:rPr>
          <w:rFonts w:hint="eastAsia"/>
          <w:color w:val="auto"/>
          <w:lang w:val="en-US" w:eastAsia="zh-CN"/>
        </w:rPr>
        <w:t>：</w:t>
      </w:r>
      <w:r>
        <w:rPr>
          <w:rFonts w:hint="default"/>
          <w:color w:val="auto"/>
          <w:lang w:val="en-US" w:eastAsia="zh-CN"/>
        </w:rPr>
        <w:t>得分率为</w:t>
      </w:r>
      <w:r>
        <w:rPr>
          <w:rFonts w:hint="eastAsia"/>
          <w:color w:val="auto"/>
          <w:lang w:val="en-US" w:eastAsia="zh-CN"/>
        </w:rPr>
        <w:t>87.50</w:t>
      </w:r>
      <w:r>
        <w:rPr>
          <w:rFonts w:hint="default"/>
          <w:color w:val="auto"/>
          <w:lang w:val="en-US" w:eastAsia="zh-CN"/>
        </w:rPr>
        <w:t>%。</w:t>
      </w:r>
      <w:r>
        <w:rPr>
          <w:rFonts w:hint="eastAsia"/>
          <w:color w:val="auto"/>
          <w:lang w:val="en-US" w:eastAsia="zh-CN"/>
        </w:rPr>
        <w:t>存在的主要问题：1）未见边坡检查记录。</w:t>
      </w:r>
    </w:p>
    <w:p w14:paraId="46D88A7E">
      <w:pPr>
        <w:pageBreakBefore w:val="0"/>
        <w:widowControl w:val="0"/>
        <w:kinsoku/>
        <w:wordWrap/>
        <w:overflowPunct/>
        <w:topLinePunct w:val="0"/>
        <w:autoSpaceDE/>
        <w:autoSpaceDN/>
        <w:bidi w:val="0"/>
        <w:adjustRightInd/>
        <w:snapToGrid/>
        <w:spacing w:line="353" w:lineRule="auto"/>
        <w:textAlignment w:val="auto"/>
        <w:rPr>
          <w:rFonts w:hint="default"/>
          <w:color w:val="auto"/>
          <w:lang w:val="en-US" w:eastAsia="zh-CN"/>
        </w:rPr>
      </w:pPr>
      <w:r>
        <w:rPr>
          <w:rFonts w:hint="default"/>
          <w:color w:val="auto"/>
          <w:lang w:val="en-US" w:eastAsia="zh-CN"/>
        </w:rPr>
        <w:t>5</w:t>
      </w:r>
      <w:r>
        <w:rPr>
          <w:rFonts w:hint="eastAsia"/>
          <w:color w:val="auto"/>
          <w:lang w:val="en-US" w:eastAsia="zh-CN"/>
        </w:rPr>
        <w:t xml:space="preserve">. </w:t>
      </w:r>
      <w:r>
        <w:rPr>
          <w:rFonts w:hint="default"/>
          <w:color w:val="auto"/>
          <w:lang w:val="en-US" w:eastAsia="zh-CN"/>
        </w:rPr>
        <w:t>供配电设施单元</w:t>
      </w:r>
      <w:r>
        <w:rPr>
          <w:rFonts w:hint="eastAsia"/>
          <w:color w:val="auto"/>
          <w:lang w:val="en-US" w:eastAsia="zh-CN"/>
        </w:rPr>
        <w:t>：</w:t>
      </w:r>
      <w:r>
        <w:rPr>
          <w:rFonts w:hint="default"/>
          <w:color w:val="auto"/>
          <w:lang w:val="en-US" w:eastAsia="zh-CN"/>
        </w:rPr>
        <w:t>得分率为</w:t>
      </w:r>
      <w:r>
        <w:rPr>
          <w:rFonts w:hint="eastAsia"/>
          <w:color w:val="auto"/>
          <w:lang w:val="en-US" w:eastAsia="zh-CN"/>
        </w:rPr>
        <w:t>90.32</w:t>
      </w:r>
      <w:r>
        <w:rPr>
          <w:rFonts w:hint="default"/>
          <w:color w:val="auto"/>
          <w:lang w:val="en-US" w:eastAsia="zh-CN"/>
        </w:rPr>
        <w:t>%。存在的主要问题</w:t>
      </w:r>
      <w:r>
        <w:rPr>
          <w:rFonts w:hint="eastAsia"/>
          <w:color w:val="auto"/>
          <w:lang w:val="en-US" w:eastAsia="zh-CN"/>
        </w:rPr>
        <w:t>：1</w:t>
      </w:r>
      <w:r>
        <w:rPr>
          <w:rFonts w:hint="eastAsia" w:ascii="宋体" w:hAnsi="宋体" w:eastAsia="宋体" w:cs="宋体"/>
          <w:color w:val="auto"/>
          <w:lang w:val="en-US" w:eastAsia="zh-CN"/>
        </w:rPr>
        <w:t>）</w:t>
      </w:r>
      <w:r>
        <w:rPr>
          <w:rFonts w:hint="default"/>
          <w:color w:val="auto"/>
          <w:lang w:val="en-US" w:eastAsia="zh-CN"/>
        </w:rPr>
        <w:t>配电间未设应急照明设施</w:t>
      </w:r>
      <w:r>
        <w:rPr>
          <w:rFonts w:hint="eastAsia"/>
          <w:color w:val="auto"/>
          <w:lang w:val="en-US" w:eastAsia="zh-CN"/>
        </w:rPr>
        <w:t>；2</w:t>
      </w:r>
      <w:r>
        <w:rPr>
          <w:rFonts w:hint="eastAsia" w:ascii="宋体" w:hAnsi="宋体" w:eastAsia="宋体" w:cs="宋体"/>
          <w:color w:val="auto"/>
          <w:lang w:val="en-US" w:eastAsia="zh-CN"/>
        </w:rPr>
        <w:t>）</w:t>
      </w:r>
      <w:r>
        <w:rPr>
          <w:rFonts w:hint="default"/>
          <w:color w:val="auto"/>
          <w:lang w:val="en-US" w:eastAsia="zh-CN"/>
        </w:rPr>
        <w:t>未建立电气作业安全制度。</w:t>
      </w:r>
    </w:p>
    <w:p w14:paraId="2F83DC1D">
      <w:pPr>
        <w:pageBreakBefore w:val="0"/>
        <w:widowControl w:val="0"/>
        <w:kinsoku/>
        <w:wordWrap/>
        <w:overflowPunct/>
        <w:topLinePunct w:val="0"/>
        <w:autoSpaceDE/>
        <w:autoSpaceDN/>
        <w:bidi w:val="0"/>
        <w:adjustRightInd/>
        <w:snapToGrid/>
        <w:spacing w:line="353" w:lineRule="auto"/>
        <w:textAlignment w:val="auto"/>
        <w:rPr>
          <w:rFonts w:hint="default"/>
          <w:color w:val="auto"/>
          <w:lang w:val="en-US" w:eastAsia="zh-CN"/>
        </w:rPr>
      </w:pPr>
      <w:r>
        <w:rPr>
          <w:rFonts w:hint="default"/>
          <w:color w:val="auto"/>
          <w:lang w:val="en-US" w:eastAsia="zh-CN"/>
        </w:rPr>
        <w:t>6</w:t>
      </w:r>
      <w:r>
        <w:rPr>
          <w:rFonts w:hint="eastAsia"/>
          <w:color w:val="auto"/>
          <w:lang w:val="en-US" w:eastAsia="zh-CN"/>
        </w:rPr>
        <w:t xml:space="preserve">. </w:t>
      </w:r>
      <w:r>
        <w:rPr>
          <w:rFonts w:hint="default"/>
          <w:color w:val="auto"/>
          <w:lang w:val="en-US" w:eastAsia="zh-CN"/>
        </w:rPr>
        <w:t>防排水单元</w:t>
      </w:r>
      <w:r>
        <w:rPr>
          <w:rFonts w:hint="eastAsia"/>
          <w:color w:val="auto"/>
          <w:lang w:val="en-US" w:eastAsia="zh-CN"/>
        </w:rPr>
        <w:t>：</w:t>
      </w:r>
      <w:r>
        <w:rPr>
          <w:rFonts w:hint="default"/>
          <w:color w:val="auto"/>
          <w:lang w:val="en-US" w:eastAsia="zh-CN"/>
        </w:rPr>
        <w:t>得分率为</w:t>
      </w:r>
      <w:r>
        <w:rPr>
          <w:rFonts w:hint="eastAsia"/>
          <w:color w:val="auto"/>
          <w:lang w:val="en-US" w:eastAsia="zh-CN"/>
        </w:rPr>
        <w:t>100</w:t>
      </w:r>
      <w:r>
        <w:rPr>
          <w:rFonts w:hint="default"/>
          <w:color w:val="auto"/>
          <w:lang w:val="en-US" w:eastAsia="zh-CN"/>
        </w:rPr>
        <w:t>%。</w:t>
      </w:r>
    </w:p>
    <w:p w14:paraId="59F0F212">
      <w:pPr>
        <w:pageBreakBefore w:val="0"/>
        <w:widowControl w:val="0"/>
        <w:kinsoku/>
        <w:wordWrap/>
        <w:overflowPunct/>
        <w:topLinePunct w:val="0"/>
        <w:autoSpaceDE/>
        <w:autoSpaceDN/>
        <w:bidi w:val="0"/>
        <w:adjustRightInd/>
        <w:snapToGrid/>
        <w:spacing w:line="353" w:lineRule="auto"/>
        <w:textAlignment w:val="auto"/>
        <w:rPr>
          <w:rFonts w:hint="default"/>
          <w:color w:val="auto"/>
          <w:lang w:val="en-US" w:eastAsia="zh-CN"/>
        </w:rPr>
      </w:pPr>
      <w:r>
        <w:rPr>
          <w:rFonts w:hint="default"/>
          <w:color w:val="auto"/>
          <w:lang w:val="en-US" w:eastAsia="zh-CN"/>
        </w:rPr>
        <w:t>7</w:t>
      </w:r>
      <w:r>
        <w:rPr>
          <w:rFonts w:hint="eastAsia"/>
          <w:color w:val="auto"/>
          <w:lang w:val="en-US" w:eastAsia="zh-CN"/>
        </w:rPr>
        <w:t xml:space="preserve">. </w:t>
      </w:r>
      <w:r>
        <w:rPr>
          <w:rFonts w:hint="default"/>
          <w:color w:val="auto"/>
          <w:lang w:val="en-US" w:eastAsia="zh-CN"/>
        </w:rPr>
        <w:t>防</w:t>
      </w:r>
      <w:r>
        <w:rPr>
          <w:rFonts w:hint="eastAsia"/>
          <w:color w:val="auto"/>
          <w:lang w:val="en-US" w:eastAsia="zh-CN"/>
        </w:rPr>
        <w:t>灭火</w:t>
      </w:r>
      <w:r>
        <w:rPr>
          <w:rFonts w:hint="default"/>
          <w:color w:val="auto"/>
          <w:lang w:val="en-US" w:eastAsia="zh-CN"/>
        </w:rPr>
        <w:t>单元</w:t>
      </w:r>
      <w:r>
        <w:rPr>
          <w:rFonts w:hint="eastAsia"/>
          <w:color w:val="auto"/>
          <w:lang w:val="en-US" w:eastAsia="zh-CN"/>
        </w:rPr>
        <w:t>：</w:t>
      </w:r>
      <w:r>
        <w:rPr>
          <w:rFonts w:hint="default"/>
          <w:color w:val="auto"/>
          <w:lang w:val="en-US" w:eastAsia="zh-CN"/>
        </w:rPr>
        <w:t>得分率为</w:t>
      </w:r>
      <w:r>
        <w:rPr>
          <w:rFonts w:hint="eastAsia"/>
          <w:color w:val="auto"/>
          <w:lang w:val="en-US" w:eastAsia="zh-CN"/>
        </w:rPr>
        <w:t>100</w:t>
      </w:r>
      <w:r>
        <w:rPr>
          <w:rFonts w:hint="default"/>
          <w:color w:val="auto"/>
          <w:lang w:val="en-US" w:eastAsia="zh-CN"/>
        </w:rPr>
        <w:t>%。</w:t>
      </w:r>
    </w:p>
    <w:p w14:paraId="2DE7C09E">
      <w:pPr>
        <w:pageBreakBefore w:val="0"/>
        <w:widowControl w:val="0"/>
        <w:kinsoku/>
        <w:wordWrap/>
        <w:overflowPunct/>
        <w:topLinePunct w:val="0"/>
        <w:autoSpaceDE/>
        <w:autoSpaceDN/>
        <w:bidi w:val="0"/>
        <w:adjustRightInd/>
        <w:snapToGrid/>
        <w:spacing w:line="353" w:lineRule="auto"/>
        <w:textAlignment w:val="auto"/>
        <w:rPr>
          <w:rFonts w:hint="default"/>
          <w:color w:val="auto"/>
          <w:lang w:val="en-US" w:eastAsia="zh-CN"/>
        </w:rPr>
      </w:pPr>
      <w:r>
        <w:rPr>
          <w:rFonts w:hint="eastAsia"/>
          <w:color w:val="auto"/>
          <w:lang w:val="en-US" w:eastAsia="zh-CN"/>
        </w:rPr>
        <w:t xml:space="preserve">8. </w:t>
      </w:r>
      <w:r>
        <w:rPr>
          <w:rFonts w:hint="default"/>
          <w:color w:val="auto"/>
          <w:lang w:val="en-US" w:eastAsia="zh-CN"/>
        </w:rPr>
        <w:t>通过重大生产安全事故隐患判定单元共检查1</w:t>
      </w:r>
      <w:r>
        <w:rPr>
          <w:rFonts w:hint="eastAsia"/>
          <w:color w:val="auto"/>
          <w:lang w:val="en-US" w:eastAsia="zh-CN"/>
        </w:rPr>
        <w:t>5</w:t>
      </w:r>
      <w:r>
        <w:rPr>
          <w:rFonts w:hint="default"/>
          <w:color w:val="auto"/>
          <w:lang w:val="en-US" w:eastAsia="zh-CN"/>
        </w:rPr>
        <w:t>项，均符合要求，本项目不构成重大安全事故隐患。</w:t>
      </w:r>
    </w:p>
    <w:p w14:paraId="528F3378">
      <w:pPr>
        <w:pageBreakBefore w:val="0"/>
        <w:widowControl w:val="0"/>
        <w:kinsoku/>
        <w:wordWrap/>
        <w:overflowPunct/>
        <w:topLinePunct w:val="0"/>
        <w:autoSpaceDE/>
        <w:autoSpaceDN/>
        <w:bidi w:val="0"/>
        <w:adjustRightInd/>
        <w:snapToGrid/>
        <w:spacing w:line="353" w:lineRule="auto"/>
        <w:textAlignment w:val="auto"/>
        <w:rPr>
          <w:rFonts w:hint="default"/>
          <w:color w:val="auto"/>
          <w:lang w:val="en-US" w:eastAsia="zh-CN"/>
        </w:rPr>
      </w:pPr>
      <w:r>
        <w:rPr>
          <w:rFonts w:hint="eastAsia"/>
          <w:color w:val="auto"/>
          <w:lang w:val="en-US" w:eastAsia="zh-CN"/>
        </w:rPr>
        <w:t>9. 综合评价单元：运用《非煤矿山（露天矿）安全现状评价评分标准》对德安县聂桥镇刘家山矿区建筑用辉绿岩矿露天开采工程进行评价打分，其得分率为91.96</w:t>
      </w:r>
      <w:r>
        <w:rPr>
          <w:rFonts w:hint="default"/>
          <w:color w:val="auto"/>
          <w:lang w:val="en-US" w:eastAsia="zh-CN"/>
        </w:rPr>
        <w:t>%</w:t>
      </w:r>
      <w:r>
        <w:rPr>
          <w:rFonts w:hint="eastAsia"/>
          <w:color w:val="auto"/>
          <w:lang w:val="en-US" w:eastAsia="zh-CN"/>
        </w:rPr>
        <w:t>，为A类矿山，即属于安全生产条件好，生产活动有安全保障的矿山。</w:t>
      </w:r>
    </w:p>
    <w:p w14:paraId="24C32A61">
      <w:pPr>
        <w:pageBreakBefore w:val="0"/>
        <w:widowControl w:val="0"/>
        <w:kinsoku/>
        <w:wordWrap/>
        <w:overflowPunct/>
        <w:topLinePunct w:val="0"/>
        <w:autoSpaceDE/>
        <w:autoSpaceDN/>
        <w:bidi w:val="0"/>
        <w:adjustRightInd/>
        <w:snapToGrid/>
        <w:spacing w:line="353" w:lineRule="auto"/>
        <w:textAlignment w:val="auto"/>
        <w:rPr>
          <w:rFonts w:hint="default"/>
          <w:color w:val="auto"/>
          <w:lang w:val="en-US" w:eastAsia="zh-CN"/>
        </w:rPr>
      </w:pPr>
      <w:r>
        <w:rPr>
          <w:rFonts w:hint="eastAsia"/>
          <w:color w:val="auto"/>
          <w:lang w:val="en-US" w:eastAsia="zh-CN"/>
        </w:rPr>
        <w:t xml:space="preserve">10. </w:t>
      </w:r>
      <w:r>
        <w:rPr>
          <w:rFonts w:hint="default"/>
          <w:color w:val="auto"/>
          <w:lang w:val="en-US" w:eastAsia="zh-CN"/>
        </w:rPr>
        <w:t>江西省坤育矿业有限公司应认真考虑本报告中分析的危险、有害因素，积极落实所提出的各项安全对策措施和建议，按照国家安全生产法律、法规、行业规程要求进行完善，全面推行并巩固安全生产标准化工作，提高露天矿山的本质安全程度，实现安全生产。</w:t>
      </w:r>
    </w:p>
    <w:p w14:paraId="1A3C91C0">
      <w:pPr>
        <w:pStyle w:val="3"/>
        <w:pageBreakBefore w:val="0"/>
        <w:widowControl w:val="0"/>
        <w:kinsoku/>
        <w:wordWrap/>
        <w:overflowPunct/>
        <w:topLinePunct w:val="0"/>
        <w:autoSpaceDE/>
        <w:autoSpaceDN/>
        <w:bidi w:val="0"/>
        <w:adjustRightInd/>
        <w:snapToGrid/>
        <w:spacing w:line="353" w:lineRule="auto"/>
        <w:textAlignment w:val="auto"/>
        <w:rPr>
          <w:rFonts w:hint="default"/>
          <w:color w:val="auto"/>
          <w:lang w:val="en-US" w:eastAsia="zh-CN"/>
        </w:rPr>
      </w:pPr>
      <w:bookmarkStart w:id="369" w:name="_Toc5406"/>
      <w:bookmarkStart w:id="370" w:name="_Toc29834"/>
      <w:bookmarkStart w:id="371" w:name="_Toc10984"/>
      <w:r>
        <w:rPr>
          <w:rFonts w:hint="default"/>
          <w:color w:val="auto"/>
          <w:lang w:val="en-US" w:eastAsia="zh-CN"/>
        </w:rPr>
        <w:t>7.</w:t>
      </w:r>
      <w:r>
        <w:rPr>
          <w:rFonts w:hint="eastAsia"/>
          <w:color w:val="auto"/>
          <w:lang w:val="en-US" w:eastAsia="zh-CN"/>
        </w:rPr>
        <w:t>3</w:t>
      </w:r>
      <w:r>
        <w:rPr>
          <w:rFonts w:hint="default"/>
          <w:color w:val="auto"/>
          <w:lang w:val="en-US" w:eastAsia="zh-CN"/>
        </w:rPr>
        <w:t xml:space="preserve"> 评价结论</w:t>
      </w:r>
      <w:bookmarkEnd w:id="369"/>
      <w:bookmarkEnd w:id="370"/>
      <w:bookmarkEnd w:id="371"/>
    </w:p>
    <w:p w14:paraId="549A9FBE">
      <w:pPr>
        <w:pageBreakBefore w:val="0"/>
        <w:widowControl w:val="0"/>
        <w:kinsoku/>
        <w:wordWrap/>
        <w:overflowPunct/>
        <w:topLinePunct w:val="0"/>
        <w:autoSpaceDE/>
        <w:autoSpaceDN/>
        <w:bidi w:val="0"/>
        <w:adjustRightInd/>
        <w:snapToGrid/>
        <w:spacing w:line="353" w:lineRule="auto"/>
        <w:textAlignment w:val="auto"/>
        <w:rPr>
          <w:rFonts w:hint="default"/>
          <w:color w:val="auto"/>
          <w:lang w:val="en-US" w:eastAsia="zh-CN"/>
        </w:rPr>
      </w:pPr>
      <w:r>
        <w:rPr>
          <w:rFonts w:hint="default"/>
          <w:color w:val="auto"/>
          <w:lang w:val="en-US" w:eastAsia="zh-CN"/>
        </w:rPr>
        <w:t>江西省坤育矿业有限公司德安县聂桥镇刘家山矿区建筑用辉绿岩</w:t>
      </w:r>
      <w:r>
        <w:rPr>
          <w:rFonts w:hint="eastAsia"/>
          <w:color w:val="auto"/>
          <w:lang w:val="en-US" w:eastAsia="zh-CN"/>
        </w:rPr>
        <w:t>露天开采工程</w:t>
      </w:r>
      <w:r>
        <w:rPr>
          <w:rFonts w:hint="default"/>
          <w:color w:val="auto"/>
          <w:lang w:val="en-US" w:eastAsia="zh-CN"/>
        </w:rPr>
        <w:t>证照齐全有效，设置了安全管理机构，并配备了安全管理人员，安全生产规章制度齐全，安全管理基本符合安全生产法律法规的要求，通过安全检查表符合性评价，该矿山否决项的检查结果均合格，安全检查表标准应得总分为4</w:t>
      </w:r>
      <w:r>
        <w:rPr>
          <w:rFonts w:hint="eastAsia"/>
          <w:color w:val="auto"/>
          <w:lang w:val="en-US" w:eastAsia="zh-CN"/>
        </w:rPr>
        <w:t>48</w:t>
      </w:r>
      <w:r>
        <w:rPr>
          <w:rFonts w:hint="default"/>
          <w:color w:val="auto"/>
          <w:lang w:val="en-US" w:eastAsia="zh-CN"/>
        </w:rPr>
        <w:t>分，该露天矿山评价实得分为</w:t>
      </w:r>
      <w:r>
        <w:rPr>
          <w:rFonts w:hint="eastAsia"/>
          <w:color w:val="auto"/>
          <w:lang w:val="en-US" w:eastAsia="zh-CN"/>
        </w:rPr>
        <w:t>412</w:t>
      </w:r>
      <w:r>
        <w:rPr>
          <w:rFonts w:hint="default"/>
          <w:color w:val="auto"/>
          <w:lang w:val="en-US" w:eastAsia="zh-CN"/>
        </w:rPr>
        <w:t>分，得分率9</w:t>
      </w:r>
      <w:r>
        <w:rPr>
          <w:rFonts w:hint="eastAsia"/>
          <w:color w:val="auto"/>
          <w:lang w:val="en-US" w:eastAsia="zh-CN"/>
        </w:rPr>
        <w:t>1.96%，</w:t>
      </w:r>
      <w:r>
        <w:rPr>
          <w:rFonts w:hint="default"/>
          <w:color w:val="auto"/>
          <w:lang w:val="en-US" w:eastAsia="zh-CN"/>
        </w:rPr>
        <w:t>该矿山属</w:t>
      </w:r>
      <w:r>
        <w:rPr>
          <w:rFonts w:hint="eastAsia"/>
          <w:color w:val="auto"/>
          <w:lang w:val="en-US" w:eastAsia="zh-CN"/>
        </w:rPr>
        <w:t>A</w:t>
      </w:r>
      <w:r>
        <w:rPr>
          <w:rFonts w:hint="default"/>
          <w:color w:val="auto"/>
          <w:lang w:val="en-US" w:eastAsia="zh-CN"/>
        </w:rPr>
        <w:t>类矿山，安全生产条件好，生产活动有安全保障，符合国家有关法律、法规、标准、规章、规范的要求。</w:t>
      </w:r>
    </w:p>
    <w:p w14:paraId="2564C37C">
      <w:pPr>
        <w:pageBreakBefore w:val="0"/>
        <w:widowControl w:val="0"/>
        <w:kinsoku/>
        <w:wordWrap/>
        <w:overflowPunct/>
        <w:topLinePunct w:val="0"/>
        <w:autoSpaceDE/>
        <w:autoSpaceDN/>
        <w:bidi w:val="0"/>
        <w:adjustRightInd/>
        <w:snapToGrid/>
        <w:spacing w:line="353" w:lineRule="auto"/>
        <w:textAlignment w:val="auto"/>
        <w:rPr>
          <w:rFonts w:hint="default"/>
          <w:b/>
          <w:bCs/>
          <w:color w:val="auto"/>
          <w:lang w:val="en-US" w:eastAsia="zh-CN"/>
        </w:rPr>
      </w:pPr>
      <w:r>
        <w:rPr>
          <w:rFonts w:hint="default"/>
          <w:b/>
          <w:bCs/>
          <w:color w:val="auto"/>
          <w:lang w:val="en-US" w:eastAsia="zh-CN"/>
        </w:rPr>
        <w:t>江西省坤育矿业有限公司德安县聂桥镇刘家山矿区建筑用辉绿岩矿</w:t>
      </w:r>
      <w:r>
        <w:rPr>
          <w:rFonts w:hint="eastAsia"/>
          <w:b/>
          <w:bCs/>
          <w:color w:val="auto"/>
          <w:lang w:val="en-US" w:eastAsia="zh-CN"/>
        </w:rPr>
        <w:t>露天开采工程</w:t>
      </w:r>
      <w:r>
        <w:rPr>
          <w:rFonts w:hint="default"/>
          <w:b/>
          <w:bCs/>
          <w:color w:val="auto"/>
          <w:lang w:val="en-US" w:eastAsia="zh-CN"/>
        </w:rPr>
        <w:t>现状</w:t>
      </w:r>
      <w:r>
        <w:rPr>
          <w:rFonts w:hint="eastAsia"/>
          <w:b/>
          <w:bCs/>
          <w:color w:val="auto"/>
          <w:lang w:val="en-US" w:eastAsia="zh-CN"/>
        </w:rPr>
        <w:t>按照安全设施设计组织生产、具备</w:t>
      </w:r>
      <w:r>
        <w:rPr>
          <w:rFonts w:hint="default"/>
          <w:b/>
          <w:bCs/>
          <w:color w:val="auto"/>
          <w:lang w:val="en-US" w:eastAsia="zh-CN"/>
        </w:rPr>
        <w:t>《非煤矿山企业安全生产许可证实施办法》</w:t>
      </w:r>
      <w:r>
        <w:rPr>
          <w:rFonts w:hint="eastAsia"/>
          <w:b/>
          <w:bCs/>
          <w:color w:val="auto"/>
          <w:lang w:val="en-US" w:eastAsia="zh-CN"/>
        </w:rPr>
        <w:t>要求的安全生产条件。</w:t>
      </w:r>
    </w:p>
    <w:p w14:paraId="3F6061A0">
      <w:pPr>
        <w:rPr>
          <w:rFonts w:hint="default"/>
          <w:color w:val="auto"/>
          <w:lang w:val="en-US" w:eastAsia="zh-CN"/>
        </w:rPr>
      </w:pPr>
    </w:p>
    <w:p w14:paraId="4181072C">
      <w:pPr>
        <w:rPr>
          <w:rFonts w:hint="default"/>
          <w:color w:val="auto"/>
          <w:lang w:val="en-US" w:eastAsia="zh-CN"/>
        </w:rPr>
      </w:pPr>
      <w:r>
        <w:rPr>
          <w:rFonts w:hint="default"/>
          <w:color w:val="auto"/>
          <w:lang w:val="en-US" w:eastAsia="zh-CN"/>
        </w:rPr>
        <w:br w:type="page"/>
      </w:r>
    </w:p>
    <w:p w14:paraId="15260488">
      <w:pPr>
        <w:pStyle w:val="2"/>
        <w:numPr>
          <w:ilvl w:val="0"/>
          <w:numId w:val="1"/>
        </w:numPr>
        <w:bidi w:val="0"/>
        <w:ind w:left="0" w:leftChars="0" w:firstLine="0" w:firstLineChars="0"/>
        <w:rPr>
          <w:rFonts w:hint="default" w:ascii="Times New Roman" w:hAnsi="Times New Roman" w:cs="Times New Roman"/>
          <w:color w:val="auto"/>
          <w:lang w:val="en-US" w:eastAsia="zh-CN"/>
        </w:rPr>
      </w:pPr>
      <w:bookmarkStart w:id="372" w:name="_Toc32531"/>
      <w:bookmarkStart w:id="373" w:name="_Toc12175"/>
      <w:bookmarkStart w:id="374" w:name="_Toc22378"/>
      <w:r>
        <w:rPr>
          <w:rFonts w:hint="eastAsia" w:ascii="Times New Roman" w:hAnsi="Times New Roman" w:cs="Times New Roman"/>
          <w:color w:val="auto"/>
          <w:lang w:val="en-US" w:eastAsia="zh-CN"/>
        </w:rPr>
        <w:t>附图附件</w:t>
      </w:r>
      <w:bookmarkEnd w:id="372"/>
      <w:bookmarkEnd w:id="373"/>
      <w:bookmarkEnd w:id="374"/>
    </w:p>
    <w:p w14:paraId="4E1CB817">
      <w:pPr>
        <w:pStyle w:val="3"/>
        <w:bidi w:val="0"/>
        <w:rPr>
          <w:rFonts w:hint="default"/>
          <w:color w:val="auto"/>
          <w:lang w:val="en-US" w:eastAsia="zh-CN"/>
        </w:rPr>
      </w:pPr>
      <w:bookmarkStart w:id="375" w:name="_Toc29582"/>
      <w:bookmarkStart w:id="376" w:name="_Toc30085"/>
      <w:bookmarkStart w:id="377" w:name="_Toc21295"/>
      <w:r>
        <w:rPr>
          <w:rFonts w:hint="eastAsia"/>
          <w:color w:val="auto"/>
          <w:lang w:val="en-US" w:eastAsia="zh-CN"/>
        </w:rPr>
        <w:t>8.1 附图</w:t>
      </w:r>
      <w:bookmarkEnd w:id="375"/>
      <w:bookmarkEnd w:id="376"/>
      <w:bookmarkEnd w:id="377"/>
    </w:p>
    <w:p w14:paraId="44A888EF">
      <w:pPr>
        <w:rPr>
          <w:rFonts w:hint="default"/>
          <w:color w:val="auto"/>
          <w:lang w:val="en-US" w:eastAsia="zh-CN"/>
        </w:rPr>
      </w:pPr>
      <w:r>
        <w:rPr>
          <w:rFonts w:hint="eastAsia"/>
          <w:color w:val="auto"/>
          <w:lang w:val="en-US" w:eastAsia="zh-CN"/>
        </w:rPr>
        <w:t xml:space="preserve">1. </w:t>
      </w:r>
      <w:r>
        <w:rPr>
          <w:rFonts w:hint="default"/>
          <w:color w:val="auto"/>
          <w:lang w:val="en-US" w:eastAsia="zh-CN"/>
        </w:rPr>
        <w:t>地质地形图</w:t>
      </w:r>
    </w:p>
    <w:p w14:paraId="31B9A6F8">
      <w:pPr>
        <w:rPr>
          <w:rFonts w:hint="default"/>
          <w:color w:val="auto"/>
          <w:lang w:val="en-US" w:eastAsia="zh-CN"/>
        </w:rPr>
      </w:pPr>
      <w:r>
        <w:rPr>
          <w:rFonts w:hint="eastAsia"/>
          <w:color w:val="auto"/>
          <w:lang w:val="en-US" w:eastAsia="zh-CN"/>
        </w:rPr>
        <w:t>2. 现状平面图和剖面图</w:t>
      </w:r>
    </w:p>
    <w:p w14:paraId="0DEBC608">
      <w:pPr>
        <w:rPr>
          <w:rFonts w:hint="default"/>
          <w:color w:val="auto"/>
          <w:lang w:val="en-US" w:eastAsia="zh-CN"/>
        </w:rPr>
      </w:pPr>
      <w:r>
        <w:rPr>
          <w:rFonts w:hint="eastAsia"/>
          <w:color w:val="auto"/>
          <w:lang w:val="en-US" w:eastAsia="zh-CN"/>
        </w:rPr>
        <w:t>3. 最终境界图</w:t>
      </w:r>
    </w:p>
    <w:p w14:paraId="0D6EC0B7">
      <w:pPr>
        <w:rPr>
          <w:rFonts w:hint="default"/>
          <w:color w:val="auto"/>
          <w:lang w:val="en-US" w:eastAsia="zh-CN"/>
        </w:rPr>
      </w:pPr>
      <w:r>
        <w:rPr>
          <w:rFonts w:hint="eastAsia"/>
          <w:color w:val="auto"/>
          <w:lang w:val="en-US" w:eastAsia="zh-CN"/>
        </w:rPr>
        <w:t>4. 供配电系统图</w:t>
      </w:r>
    </w:p>
    <w:p w14:paraId="02B7CA38">
      <w:pPr>
        <w:pStyle w:val="3"/>
        <w:bidi w:val="0"/>
        <w:rPr>
          <w:rFonts w:hint="eastAsia"/>
          <w:color w:val="auto"/>
          <w:lang w:val="en-US" w:eastAsia="zh-CN"/>
        </w:rPr>
      </w:pPr>
      <w:bookmarkStart w:id="378" w:name="_Toc2082"/>
      <w:bookmarkStart w:id="379" w:name="_Toc1656"/>
      <w:bookmarkStart w:id="380" w:name="_Toc22426"/>
      <w:r>
        <w:rPr>
          <w:rFonts w:hint="eastAsia"/>
          <w:color w:val="auto"/>
          <w:lang w:val="en-US" w:eastAsia="zh-CN"/>
        </w:rPr>
        <w:t>8.2 附件</w:t>
      </w:r>
      <w:bookmarkEnd w:id="378"/>
      <w:bookmarkEnd w:id="379"/>
      <w:bookmarkEnd w:id="380"/>
    </w:p>
    <w:p w14:paraId="7E2B870D">
      <w:pPr>
        <w:rPr>
          <w:rFonts w:hint="default"/>
          <w:color w:val="auto"/>
          <w:lang w:val="en-US" w:eastAsia="zh-CN"/>
        </w:rPr>
      </w:pPr>
      <w:r>
        <w:rPr>
          <w:rFonts w:hint="eastAsia"/>
          <w:color w:val="auto"/>
          <w:lang w:val="en-US" w:eastAsia="zh-CN"/>
        </w:rPr>
        <w:t>1. 整改建议</w:t>
      </w:r>
    </w:p>
    <w:p w14:paraId="705B9F48">
      <w:pPr>
        <w:rPr>
          <w:rFonts w:hint="eastAsia"/>
          <w:color w:val="auto"/>
          <w:lang w:val="en-US" w:eastAsia="zh-CN"/>
        </w:rPr>
      </w:pPr>
      <w:r>
        <w:rPr>
          <w:rFonts w:hint="eastAsia"/>
          <w:color w:val="auto"/>
          <w:lang w:val="en-US" w:eastAsia="zh-CN"/>
        </w:rPr>
        <w:t>2. 整改回复</w:t>
      </w:r>
    </w:p>
    <w:p w14:paraId="3E405DB6">
      <w:pPr>
        <w:rPr>
          <w:rFonts w:hint="eastAsia"/>
          <w:color w:val="auto"/>
          <w:lang w:val="en-US" w:eastAsia="zh-CN"/>
        </w:rPr>
      </w:pPr>
      <w:r>
        <w:rPr>
          <w:rFonts w:hint="eastAsia"/>
          <w:color w:val="auto"/>
          <w:lang w:val="en-US" w:eastAsia="zh-CN"/>
        </w:rPr>
        <w:t>3. 复查意见</w:t>
      </w:r>
    </w:p>
    <w:p w14:paraId="25C05880">
      <w:pPr>
        <w:rPr>
          <w:rFonts w:hint="default"/>
          <w:color w:val="auto"/>
          <w:lang w:val="en-US" w:eastAsia="zh-CN"/>
        </w:rPr>
      </w:pPr>
      <w:r>
        <w:rPr>
          <w:rFonts w:hint="eastAsia"/>
          <w:color w:val="auto"/>
          <w:lang w:val="en-US" w:eastAsia="zh-CN"/>
        </w:rPr>
        <w:t>4. 营业执照、采矿许可证、安全生产许可证、安全生产标准化证书</w:t>
      </w:r>
    </w:p>
    <w:p w14:paraId="32F40024">
      <w:pPr>
        <w:rPr>
          <w:rFonts w:hint="default"/>
          <w:color w:val="auto"/>
          <w:lang w:val="en-US" w:eastAsia="zh-CN"/>
        </w:rPr>
      </w:pPr>
      <w:r>
        <w:rPr>
          <w:rFonts w:hint="eastAsia"/>
          <w:color w:val="auto"/>
          <w:lang w:val="en-US" w:eastAsia="zh-CN"/>
        </w:rPr>
        <w:t>5. 爆破服务协议书、爆破作业单位许可证及安全生产管理协议</w:t>
      </w:r>
    </w:p>
    <w:p w14:paraId="5F6B51C3">
      <w:pPr>
        <w:rPr>
          <w:rFonts w:hint="default"/>
          <w:color w:val="auto"/>
          <w:lang w:val="en-US" w:eastAsia="zh-CN"/>
        </w:rPr>
      </w:pPr>
      <w:r>
        <w:rPr>
          <w:rFonts w:hint="eastAsia"/>
          <w:color w:val="auto"/>
          <w:lang w:val="en-US" w:eastAsia="zh-CN"/>
        </w:rPr>
        <w:t>6. 安全生产领导小组文件</w:t>
      </w:r>
    </w:p>
    <w:p w14:paraId="7EE5BA2A">
      <w:pPr>
        <w:rPr>
          <w:rFonts w:hint="default"/>
          <w:color w:val="auto"/>
          <w:lang w:val="en-US" w:eastAsia="zh-CN"/>
        </w:rPr>
      </w:pPr>
      <w:r>
        <w:rPr>
          <w:rFonts w:hint="eastAsia"/>
          <w:color w:val="auto"/>
          <w:lang w:val="en-US" w:eastAsia="zh-CN"/>
        </w:rPr>
        <w:t>7. 主要负责人、安全管理人员、特种作业人员资格证</w:t>
      </w:r>
    </w:p>
    <w:p w14:paraId="3508CE48">
      <w:pPr>
        <w:rPr>
          <w:rFonts w:hint="default"/>
          <w:color w:val="auto"/>
          <w:lang w:val="en-US" w:eastAsia="zh-CN"/>
        </w:rPr>
      </w:pPr>
      <w:r>
        <w:rPr>
          <w:rFonts w:hint="eastAsia"/>
          <w:color w:val="auto"/>
          <w:lang w:val="en-US" w:eastAsia="zh-CN"/>
        </w:rPr>
        <w:t>8. 专业技术人员证书</w:t>
      </w:r>
    </w:p>
    <w:p w14:paraId="3510B3C1">
      <w:pPr>
        <w:rPr>
          <w:rFonts w:hint="default"/>
          <w:color w:val="auto"/>
          <w:lang w:val="en-US" w:eastAsia="zh-CN"/>
        </w:rPr>
      </w:pPr>
      <w:r>
        <w:rPr>
          <w:rFonts w:hint="eastAsia"/>
          <w:color w:val="auto"/>
          <w:lang w:val="en-US" w:eastAsia="zh-CN"/>
        </w:rPr>
        <w:t>9. 安全生产规章制度清单</w:t>
      </w:r>
    </w:p>
    <w:p w14:paraId="67B99817">
      <w:pPr>
        <w:rPr>
          <w:rFonts w:hint="default"/>
          <w:color w:val="auto"/>
          <w:lang w:val="en-US" w:eastAsia="zh-CN"/>
        </w:rPr>
      </w:pPr>
      <w:r>
        <w:rPr>
          <w:rFonts w:hint="eastAsia"/>
          <w:color w:val="auto"/>
          <w:lang w:val="en-US" w:eastAsia="zh-CN"/>
        </w:rPr>
        <w:t xml:space="preserve">10. </w:t>
      </w:r>
      <w:r>
        <w:rPr>
          <w:rFonts w:hint="default"/>
          <w:color w:val="auto"/>
          <w:lang w:val="en-US" w:eastAsia="zh-CN"/>
        </w:rPr>
        <w:t>安全生产费用</w:t>
      </w:r>
      <w:r>
        <w:rPr>
          <w:rFonts w:hint="eastAsia"/>
          <w:color w:val="auto"/>
          <w:lang w:val="en-US" w:eastAsia="zh-CN"/>
        </w:rPr>
        <w:t>相关文件</w:t>
      </w:r>
    </w:p>
    <w:p w14:paraId="0CB95484">
      <w:pPr>
        <w:rPr>
          <w:rFonts w:hint="eastAsia"/>
          <w:color w:val="auto"/>
          <w:lang w:val="en-US" w:eastAsia="zh-CN"/>
        </w:rPr>
      </w:pPr>
      <w:r>
        <w:rPr>
          <w:rFonts w:hint="eastAsia"/>
          <w:color w:val="auto"/>
          <w:lang w:val="en-US" w:eastAsia="zh-CN"/>
        </w:rPr>
        <w:t>11. 应急预案备案表</w:t>
      </w:r>
    </w:p>
    <w:p w14:paraId="2CB10B9B">
      <w:pPr>
        <w:rPr>
          <w:rFonts w:hint="default"/>
          <w:color w:val="auto"/>
          <w:lang w:val="en-US" w:eastAsia="zh-CN"/>
        </w:rPr>
      </w:pPr>
      <w:r>
        <w:rPr>
          <w:rFonts w:hint="eastAsia"/>
          <w:color w:val="auto"/>
          <w:lang w:val="en-US" w:eastAsia="zh-CN"/>
        </w:rPr>
        <w:t>12. 安全</w:t>
      </w:r>
      <w:r>
        <w:rPr>
          <w:rFonts w:hint="default"/>
          <w:color w:val="auto"/>
          <w:lang w:val="en-US" w:eastAsia="zh-CN"/>
        </w:rPr>
        <w:t>救护协议</w:t>
      </w:r>
      <w:r>
        <w:rPr>
          <w:rFonts w:hint="eastAsia"/>
          <w:color w:val="auto"/>
          <w:lang w:val="en-US" w:eastAsia="zh-CN"/>
        </w:rPr>
        <w:t>书</w:t>
      </w:r>
    </w:p>
    <w:p w14:paraId="5FED88CA">
      <w:pPr>
        <w:rPr>
          <w:rFonts w:hint="default"/>
          <w:color w:val="auto"/>
          <w:lang w:val="en-US" w:eastAsia="zh-CN"/>
        </w:rPr>
      </w:pPr>
      <w:r>
        <w:rPr>
          <w:rFonts w:hint="eastAsia"/>
          <w:color w:val="auto"/>
          <w:lang w:val="en-US" w:eastAsia="zh-CN"/>
        </w:rPr>
        <w:t>13. 无事故证明</w:t>
      </w:r>
    </w:p>
    <w:p w14:paraId="0AFAC6A3">
      <w:pPr>
        <w:rPr>
          <w:rFonts w:hint="eastAsia"/>
          <w:color w:val="auto"/>
          <w:lang w:val="en-US" w:eastAsia="zh-CN"/>
        </w:rPr>
      </w:pPr>
      <w:r>
        <w:rPr>
          <w:rFonts w:hint="eastAsia"/>
          <w:color w:val="auto"/>
          <w:lang w:val="en-US" w:eastAsia="zh-CN"/>
        </w:rPr>
        <w:t>14. 工伤保险、安全生产责任险保单</w:t>
      </w:r>
    </w:p>
    <w:p w14:paraId="25DB20DE">
      <w:pPr>
        <w:rPr>
          <w:rFonts w:hint="default"/>
          <w:color w:val="auto"/>
          <w:lang w:val="en-US" w:eastAsia="zh-CN"/>
        </w:rPr>
      </w:pPr>
      <w:r>
        <w:rPr>
          <w:rFonts w:hint="eastAsia"/>
          <w:color w:val="auto"/>
          <w:lang w:val="en-US" w:eastAsia="zh-CN"/>
        </w:rPr>
        <w:t>15. 检测报告</w:t>
      </w:r>
    </w:p>
    <w:p w14:paraId="092A470E">
      <w:pPr>
        <w:rPr>
          <w:rFonts w:hint="default"/>
          <w:color w:val="auto"/>
          <w:lang w:val="en-US" w:eastAsia="zh-CN"/>
        </w:rPr>
      </w:pPr>
    </w:p>
    <w:p w14:paraId="33BF420A">
      <w:pPr>
        <w:rPr>
          <w:rFonts w:hint="default"/>
          <w:color w:val="auto"/>
          <w:lang w:val="en-US" w:eastAsia="zh-CN"/>
        </w:rPr>
      </w:pPr>
      <w:r>
        <w:rPr>
          <w:rFonts w:hint="default"/>
          <w:color w:val="auto"/>
          <w:lang w:val="en-US" w:eastAsia="zh-CN"/>
        </w:rPr>
        <w:br w:type="page"/>
      </w:r>
    </w:p>
    <w:p w14:paraId="5CBA1FEC">
      <w:pPr>
        <w:rPr>
          <w:rFonts w:hint="default"/>
          <w:b/>
          <w:bCs/>
          <w:color w:val="auto"/>
          <w:lang w:val="en-US" w:eastAsia="zh-CN"/>
        </w:rPr>
      </w:pPr>
      <w:r>
        <w:rPr>
          <w:rFonts w:hint="default"/>
          <w:b/>
          <w:bCs/>
          <w:color w:val="auto"/>
          <w:lang w:val="en-US" w:eastAsia="zh-CN"/>
        </w:rPr>
        <w:t>附：评价人员与企业安全管理人员合影</w:t>
      </w:r>
      <w:r>
        <w:rPr>
          <w:rFonts w:hint="eastAsia"/>
          <w:b/>
          <w:bCs/>
          <w:color w:val="auto"/>
          <w:lang w:val="en-US" w:eastAsia="zh-CN"/>
        </w:rPr>
        <w:t>。</w:t>
      </w:r>
    </w:p>
    <w:p w14:paraId="5DA3D84B">
      <w:pPr>
        <w:ind w:left="0" w:leftChars="0" w:firstLine="0" w:firstLineChars="0"/>
        <w:jc w:val="center"/>
        <w:rPr>
          <w:rFonts w:hint="default"/>
          <w:b/>
          <w:bCs/>
          <w:color w:val="auto"/>
          <w:lang w:val="en-US" w:eastAsia="zh-CN"/>
        </w:rPr>
      </w:pPr>
      <w:r>
        <w:rPr>
          <w:rFonts w:hint="default"/>
          <w:b/>
          <w:bCs/>
          <w:color w:val="auto"/>
          <w:lang w:val="en-US" w:eastAsia="zh-CN"/>
        </w:rPr>
        <w:drawing>
          <wp:inline distT="0" distB="0" distL="114300" distR="114300">
            <wp:extent cx="4319905" cy="3239770"/>
            <wp:effectExtent l="0" t="0" r="4445" b="17780"/>
            <wp:docPr id="10" name="图片 10" descr="IMG_15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IMG_1563"/>
                    <pic:cNvPicPr>
                      <a:picLocks noChangeAspect="1"/>
                    </pic:cNvPicPr>
                  </pic:nvPicPr>
                  <pic:blipFill>
                    <a:blip r:embed="rId17"/>
                    <a:stretch>
                      <a:fillRect/>
                    </a:stretch>
                  </pic:blipFill>
                  <pic:spPr>
                    <a:xfrm>
                      <a:off x="0" y="0"/>
                      <a:ext cx="4319905" cy="3239770"/>
                    </a:xfrm>
                    <a:prstGeom prst="rect">
                      <a:avLst/>
                    </a:prstGeom>
                  </pic:spPr>
                </pic:pic>
              </a:graphicData>
            </a:graphic>
          </wp:inline>
        </w:drawing>
      </w:r>
    </w:p>
    <w:p w14:paraId="4309DD60">
      <w:pPr>
        <w:ind w:left="0" w:leftChars="0" w:firstLine="0" w:firstLineChars="0"/>
        <w:jc w:val="center"/>
        <w:rPr>
          <w:rFonts w:hint="default"/>
          <w:b/>
          <w:bCs/>
          <w:color w:val="auto"/>
          <w:lang w:val="en-US" w:eastAsia="zh-CN"/>
        </w:rPr>
      </w:pPr>
      <w:r>
        <w:rPr>
          <w:rFonts w:hint="default"/>
          <w:b/>
          <w:bCs/>
          <w:color w:val="auto"/>
          <w:lang w:val="en-US" w:eastAsia="zh-CN"/>
        </w:rPr>
        <w:drawing>
          <wp:inline distT="0" distB="0" distL="114300" distR="114300">
            <wp:extent cx="4319905" cy="3239770"/>
            <wp:effectExtent l="0" t="0" r="4445" b="17780"/>
            <wp:docPr id="11" name="图片 11" descr="IMG_15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IMG_1556"/>
                    <pic:cNvPicPr>
                      <a:picLocks noChangeAspect="1"/>
                    </pic:cNvPicPr>
                  </pic:nvPicPr>
                  <pic:blipFill>
                    <a:blip r:embed="rId18"/>
                    <a:stretch>
                      <a:fillRect/>
                    </a:stretch>
                  </pic:blipFill>
                  <pic:spPr>
                    <a:xfrm>
                      <a:off x="0" y="0"/>
                      <a:ext cx="4319905" cy="3239770"/>
                    </a:xfrm>
                    <a:prstGeom prst="rect">
                      <a:avLst/>
                    </a:prstGeom>
                  </pic:spPr>
                </pic:pic>
              </a:graphicData>
            </a:graphic>
          </wp:inline>
        </w:drawing>
      </w:r>
    </w:p>
    <w:sectPr>
      <w:pgSz w:w="11906" w:h="16839"/>
      <w:pgMar w:top="1417" w:right="1417" w:bottom="1417" w:left="1417" w:header="850" w:footer="992" w:gutter="0"/>
      <w:pgNumType w:fmt="decimal"/>
      <w:cols w:space="425" w:num="1"/>
      <w:rtlGutter w:val="0"/>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新宋体">
    <w:panose1 w:val="02010609030101010101"/>
    <w:charset w:val="86"/>
    <w:family w:val="modern"/>
    <w:pitch w:val="default"/>
    <w:sig w:usb0="00000283" w:usb1="288F0000" w:usb2="00000006" w:usb3="00000000" w:csb0="00040001" w:csb1="00000000"/>
  </w:font>
  <w:font w:name="Batang">
    <w:altName w:val="Malgun Gothic"/>
    <w:panose1 w:val="02030600000101010101"/>
    <w:charset w:val="81"/>
    <w:family w:val="roman"/>
    <w:pitch w:val="default"/>
    <w:sig w:usb0="00000000" w:usb1="00000000" w:usb2="00000030" w:usb3="00000000" w:csb0="0008009F" w:csb1="00000000"/>
  </w:font>
  <w:font w:name="Malgun Gothic">
    <w:panose1 w:val="020B0503020000020004"/>
    <w:charset w:val="81"/>
    <w:family w:val="auto"/>
    <w:pitch w:val="default"/>
    <w:sig w:usb0="9000002F" w:usb1="29D77CFB" w:usb2="00000012" w:usb3="00000000" w:csb0="00080001" w:csb1="00000000"/>
  </w:font>
  <w:font w:name="MS Gothic">
    <w:panose1 w:val="020B0609070205080204"/>
    <w:charset w:val="80"/>
    <w:family w:val="modern"/>
    <w:pitch w:val="default"/>
    <w:sig w:usb0="E00002FF" w:usb1="6AC7FDFB" w:usb2="08000012" w:usb3="00000000" w:csb0="4002009F" w:csb1="DFD7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1F2CAD">
    <w:pPr>
      <w:pStyle w:val="11"/>
      <w:pBdr>
        <w:top w:val="single" w:color="auto" w:sz="4" w:space="0"/>
      </w:pBdr>
      <w:ind w:left="0" w:leftChars="0" w:firstLine="0" w:firstLineChars="0"/>
      <w:rPr>
        <w:rFonts w:hint="default" w:eastAsia="宋体"/>
        <w:lang w:val="en-US" w:eastAsia="zh-CN"/>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1" name="文本框 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766E53D">
                          <w:pPr>
                            <w:pStyle w:val="11"/>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xhYO8zAgAAYwQAAA4AAAAAAAAAAQAgAAAAHwEAAGRycy9lMm9Eb2MueG1sUEsF&#10;BgAAAAAGAAYAWQEAAMQFAAAAAA==&#10;">
              <v:fill on="f" focussize="0,0"/>
              <v:stroke on="f" weight="0.5pt"/>
              <v:imagedata o:title=""/>
              <o:lock v:ext="edit" aspectratio="f"/>
              <v:textbox inset="0mm,0mm,0mm,0mm" style="mso-fit-shape-to-text:t;">
                <w:txbxContent>
                  <w:p w14:paraId="2766E53D">
                    <w:pPr>
                      <w:pStyle w:val="11"/>
                    </w:pPr>
                    <w:r>
                      <w:fldChar w:fldCharType="begin"/>
                    </w:r>
                    <w:r>
                      <w:instrText xml:space="preserve"> PAGE  \* MERGEFORMAT </w:instrText>
                    </w:r>
                    <w:r>
                      <w:fldChar w:fldCharType="separate"/>
                    </w:r>
                    <w:r>
                      <w:t>7</w:t>
                    </w:r>
                    <w:r>
                      <w:fldChar w:fldCharType="end"/>
                    </w:r>
                  </w:p>
                </w:txbxContent>
              </v:textbox>
            </v:shape>
          </w:pict>
        </mc:Fallback>
      </mc:AlternateContent>
    </w:r>
    <w:r>
      <w:rPr>
        <w:rFonts w:hint="eastAsia"/>
      </w:rPr>
      <w:t>江西赣安安全生产科学技术咨询服务中心</w:t>
    </w:r>
    <w:r>
      <w:rPr>
        <w:rFonts w:hint="eastAsia"/>
        <w:lang w:val="en-US" w:eastAsia="zh-CN"/>
      </w:rPr>
      <w:t xml:space="preserve">                                                   APJ-（赣）-002</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B86D8B">
    <w:pPr>
      <w:pStyle w:val="11"/>
      <w:pBdr>
        <w:top w:val="single" w:color="auto" w:sz="4" w:space="0"/>
      </w:pBdr>
      <w:ind w:left="0" w:leftChars="0" w:firstLine="0" w:firstLineChars="0"/>
      <w:rPr>
        <w:rFonts w:hint="default" w:eastAsia="宋体"/>
        <w:lang w:val="en-US" w:eastAsia="zh-CN"/>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C1EE294">
                          <w:pPr>
                            <w:pStyle w:val="11"/>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7C1EE294">
                    <w:pPr>
                      <w:pStyle w:val="11"/>
                    </w:pPr>
                    <w:r>
                      <w:fldChar w:fldCharType="begin"/>
                    </w:r>
                    <w:r>
                      <w:instrText xml:space="preserve"> PAGE  \* MERGEFORMAT </w:instrText>
                    </w:r>
                    <w:r>
                      <w:fldChar w:fldCharType="separate"/>
                    </w:r>
                    <w:r>
                      <w:t>7</w:t>
                    </w:r>
                    <w:r>
                      <w:fldChar w:fldCharType="end"/>
                    </w:r>
                  </w:p>
                </w:txbxContent>
              </v:textbox>
            </v:shape>
          </w:pict>
        </mc:Fallback>
      </mc:AlternateContent>
    </w:r>
    <w:r>
      <w:rPr>
        <w:rFonts w:hint="eastAsia"/>
      </w:rPr>
      <w:t>江西赣安安全生产科学技术咨询服务中心</w:t>
    </w:r>
    <w:r>
      <w:rPr>
        <w:rFonts w:hint="eastAsia"/>
        <w:lang w:val="en-US" w:eastAsia="zh-CN"/>
      </w:rPr>
      <w:t xml:space="preserve">                                                   APJ-（赣）-002</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560"/>
      </w:pPr>
      <w:r>
        <w:separator/>
      </w:r>
    </w:p>
  </w:footnote>
  <w:footnote w:type="continuationSeparator" w:id="1">
    <w:p>
      <w:pPr>
        <w:spacing w:line="36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B90933">
    <w:pPr>
      <w:pStyle w:val="12"/>
      <w:ind w:left="0" w:leftChars="0" w:firstLine="0" w:firstLineChars="0"/>
      <w:jc w:val="left"/>
      <w:rPr>
        <w:spacing w:val="-11"/>
        <w:sz w:val="18"/>
      </w:rPr>
    </w:pPr>
    <w:r>
      <w:rPr>
        <w:rFonts w:hint="eastAsia"/>
        <w:spacing w:val="-6"/>
        <w:sz w:val="18"/>
      </w:rPr>
      <w:t>江西省坤育矿业有限公司德安县聂桥镇刘家山矿区建筑用辉绿岩矿露天开采工程安全现状评价报告</w:t>
    </w:r>
    <w:r>
      <w:rPr>
        <w:rFonts w:hint="eastAsia"/>
        <w:spacing w:val="-11"/>
        <w:sz w:val="18"/>
        <w:lang w:val="en-US" w:eastAsia="zh-CN"/>
      </w:rPr>
      <w:t xml:space="preserve">    </w:t>
    </w:r>
    <w:r>
      <w:rPr>
        <w:rFonts w:hint="default" w:ascii="Times New Roman" w:hAnsi="Times New Roman" w:cs="Times New Roman"/>
        <w:spacing w:val="-11"/>
        <w:sz w:val="18"/>
      </w:rPr>
      <w:t>GAAP</w:t>
    </w:r>
    <w:r>
      <w:rPr>
        <w:rFonts w:hint="eastAsia" w:ascii="微软雅黑" w:hAnsi="Times New Roman" w:eastAsia="微软雅黑" w:cs="微软雅黑"/>
        <w:spacing w:val="-11"/>
        <w:kern w:val="2"/>
        <w:sz w:val="18"/>
        <w:szCs w:val="18"/>
        <w:lang w:val="en-US" w:eastAsia="zh-CN" w:bidi="ar-SA"/>
      </w:rPr>
      <w:t>〔</w:t>
    </w:r>
    <w:r>
      <w:rPr>
        <w:rFonts w:hint="eastAsia" w:ascii="Times New Roman" w:hAnsi="Times New Roman" w:eastAsia="宋体" w:cs="Times New Roman"/>
        <w:spacing w:val="-11"/>
        <w:kern w:val="2"/>
        <w:sz w:val="18"/>
        <w:szCs w:val="18"/>
        <w:lang w:val="en-US" w:eastAsia="zh-CN" w:bidi="ar-SA"/>
      </w:rPr>
      <w:t>202</w:t>
    </w:r>
    <w:r>
      <w:rPr>
        <w:rFonts w:hint="eastAsia" w:cs="Times New Roman"/>
        <w:spacing w:val="-11"/>
        <w:kern w:val="2"/>
        <w:sz w:val="18"/>
        <w:szCs w:val="18"/>
        <w:lang w:val="en-US" w:eastAsia="zh-CN" w:bidi="ar-SA"/>
      </w:rPr>
      <w:t>5</w:t>
    </w:r>
    <w:r>
      <w:rPr>
        <w:rFonts w:hint="eastAsia" w:ascii="微软雅黑" w:hAnsi="Times New Roman" w:eastAsia="微软雅黑" w:cs="微软雅黑"/>
        <w:spacing w:val="-11"/>
        <w:kern w:val="2"/>
        <w:sz w:val="18"/>
        <w:szCs w:val="18"/>
        <w:lang w:val="en-US" w:eastAsia="zh-CN" w:bidi="ar-SA"/>
      </w:rPr>
      <w:t>〕</w:t>
    </w:r>
    <w:r>
      <w:rPr>
        <w:rFonts w:hint="eastAsia" w:cs="Times New Roman"/>
        <w:spacing w:val="-11"/>
        <w:sz w:val="18"/>
        <w:lang w:val="en-US" w:eastAsia="zh-CN"/>
      </w:rPr>
      <w:t>0498</w:t>
    </w:r>
    <w:r>
      <w:rPr>
        <w:rFonts w:hint="default" w:ascii="Times New Roman" w:hAnsi="Times New Roman" w:cs="Times New Roman"/>
        <w:spacing w:val="-11"/>
        <w:sz w:val="18"/>
      </w:rPr>
      <w:t>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F078CD"/>
    <w:multiLevelType w:val="singleLevel"/>
    <w:tmpl w:val="DFF078CD"/>
    <w:lvl w:ilvl="0" w:tentative="0">
      <w:start w:val="1"/>
      <w:numFmt w:val="decimal"/>
      <w:suff w:val="space"/>
      <w:lvlText w:val="%1."/>
      <w:lvlJc w:val="left"/>
    </w:lvl>
  </w:abstractNum>
  <w:abstractNum w:abstractNumId="1">
    <w:nsid w:val="2BFD7D24"/>
    <w:multiLevelType w:val="singleLevel"/>
    <w:tmpl w:val="2BFD7D24"/>
    <w:lvl w:ilvl="0" w:tentative="0">
      <w:start w:val="4"/>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UyYWUxNGNmMmUyZTIxY2FmM2YyMWFiMjM3Y2U3MzAifQ=="/>
  </w:docVars>
  <w:rsids>
    <w:rsidRoot w:val="00000000"/>
    <w:rsid w:val="000F5645"/>
    <w:rsid w:val="001A1607"/>
    <w:rsid w:val="00593490"/>
    <w:rsid w:val="005C6C6E"/>
    <w:rsid w:val="00A94756"/>
    <w:rsid w:val="00AD7338"/>
    <w:rsid w:val="00DE185F"/>
    <w:rsid w:val="010B45A5"/>
    <w:rsid w:val="010D7DD7"/>
    <w:rsid w:val="01145609"/>
    <w:rsid w:val="01371F49"/>
    <w:rsid w:val="013C708F"/>
    <w:rsid w:val="0155716D"/>
    <w:rsid w:val="01562017"/>
    <w:rsid w:val="01640D09"/>
    <w:rsid w:val="01EF572E"/>
    <w:rsid w:val="02106ABC"/>
    <w:rsid w:val="02283016"/>
    <w:rsid w:val="02290253"/>
    <w:rsid w:val="02852286"/>
    <w:rsid w:val="028E0926"/>
    <w:rsid w:val="0292761B"/>
    <w:rsid w:val="02967F59"/>
    <w:rsid w:val="03126EE3"/>
    <w:rsid w:val="03435D32"/>
    <w:rsid w:val="03546191"/>
    <w:rsid w:val="036033E5"/>
    <w:rsid w:val="03DE20F3"/>
    <w:rsid w:val="03F40C27"/>
    <w:rsid w:val="042E0790"/>
    <w:rsid w:val="045B71F9"/>
    <w:rsid w:val="047E3532"/>
    <w:rsid w:val="04F449E4"/>
    <w:rsid w:val="05366B04"/>
    <w:rsid w:val="053B7F7E"/>
    <w:rsid w:val="05476ED2"/>
    <w:rsid w:val="05594AD8"/>
    <w:rsid w:val="05740424"/>
    <w:rsid w:val="057B0FFA"/>
    <w:rsid w:val="05A86320"/>
    <w:rsid w:val="05FE4192"/>
    <w:rsid w:val="06345BBB"/>
    <w:rsid w:val="063876A4"/>
    <w:rsid w:val="06464F24"/>
    <w:rsid w:val="067D77AC"/>
    <w:rsid w:val="07283BBC"/>
    <w:rsid w:val="075F6EB2"/>
    <w:rsid w:val="07E618D5"/>
    <w:rsid w:val="07E86EA8"/>
    <w:rsid w:val="07FD72FC"/>
    <w:rsid w:val="08836BD0"/>
    <w:rsid w:val="08B70A65"/>
    <w:rsid w:val="08E12697"/>
    <w:rsid w:val="08F32F05"/>
    <w:rsid w:val="09077801"/>
    <w:rsid w:val="091B57AF"/>
    <w:rsid w:val="093C0D75"/>
    <w:rsid w:val="09736C45"/>
    <w:rsid w:val="09A27895"/>
    <w:rsid w:val="09ED2E9B"/>
    <w:rsid w:val="0A015732"/>
    <w:rsid w:val="0A1042DF"/>
    <w:rsid w:val="0A187F18"/>
    <w:rsid w:val="0B224422"/>
    <w:rsid w:val="0B4C7FEF"/>
    <w:rsid w:val="0B891F50"/>
    <w:rsid w:val="0C6E1BD7"/>
    <w:rsid w:val="0D36577E"/>
    <w:rsid w:val="0D3F0613"/>
    <w:rsid w:val="0D417485"/>
    <w:rsid w:val="0D611BD6"/>
    <w:rsid w:val="0DBF06AB"/>
    <w:rsid w:val="0DCE4EE9"/>
    <w:rsid w:val="0DDE3227"/>
    <w:rsid w:val="0DF742E8"/>
    <w:rsid w:val="0E5434E9"/>
    <w:rsid w:val="0EE4067B"/>
    <w:rsid w:val="0F2C7D97"/>
    <w:rsid w:val="0F317370"/>
    <w:rsid w:val="0F5F0397"/>
    <w:rsid w:val="0F667927"/>
    <w:rsid w:val="0F8876CA"/>
    <w:rsid w:val="0F98675A"/>
    <w:rsid w:val="0FFC1742"/>
    <w:rsid w:val="100106CE"/>
    <w:rsid w:val="100D48FD"/>
    <w:rsid w:val="10480E2B"/>
    <w:rsid w:val="10A404D8"/>
    <w:rsid w:val="11360C84"/>
    <w:rsid w:val="11586E4C"/>
    <w:rsid w:val="115C19F5"/>
    <w:rsid w:val="11A7392F"/>
    <w:rsid w:val="12303925"/>
    <w:rsid w:val="126258E7"/>
    <w:rsid w:val="12705EDC"/>
    <w:rsid w:val="12753A2E"/>
    <w:rsid w:val="12C60FED"/>
    <w:rsid w:val="12DA75C2"/>
    <w:rsid w:val="1325541B"/>
    <w:rsid w:val="13350988"/>
    <w:rsid w:val="136647C4"/>
    <w:rsid w:val="141C6857"/>
    <w:rsid w:val="142D3A1C"/>
    <w:rsid w:val="145439BE"/>
    <w:rsid w:val="14596B6E"/>
    <w:rsid w:val="14890557"/>
    <w:rsid w:val="14913DAE"/>
    <w:rsid w:val="14DF6A21"/>
    <w:rsid w:val="14FB646C"/>
    <w:rsid w:val="15234043"/>
    <w:rsid w:val="1533356A"/>
    <w:rsid w:val="15362A79"/>
    <w:rsid w:val="15624987"/>
    <w:rsid w:val="160D6B52"/>
    <w:rsid w:val="161F618A"/>
    <w:rsid w:val="16767752"/>
    <w:rsid w:val="16DC22CD"/>
    <w:rsid w:val="17214184"/>
    <w:rsid w:val="177034A9"/>
    <w:rsid w:val="17814EBE"/>
    <w:rsid w:val="17D17BE5"/>
    <w:rsid w:val="17DA05D8"/>
    <w:rsid w:val="17E728EB"/>
    <w:rsid w:val="17EF7DDE"/>
    <w:rsid w:val="17F263D6"/>
    <w:rsid w:val="187C3D68"/>
    <w:rsid w:val="18A22B9C"/>
    <w:rsid w:val="18EA221C"/>
    <w:rsid w:val="19137AFC"/>
    <w:rsid w:val="191F4337"/>
    <w:rsid w:val="196056B2"/>
    <w:rsid w:val="19946E8F"/>
    <w:rsid w:val="19B16915"/>
    <w:rsid w:val="19C75DCA"/>
    <w:rsid w:val="19DB69C3"/>
    <w:rsid w:val="1A44069A"/>
    <w:rsid w:val="1AFE41A2"/>
    <w:rsid w:val="1B0F0EC3"/>
    <w:rsid w:val="1B356450"/>
    <w:rsid w:val="1B4723FE"/>
    <w:rsid w:val="1BEC5A46"/>
    <w:rsid w:val="1C312FB0"/>
    <w:rsid w:val="1C42303D"/>
    <w:rsid w:val="1C56042C"/>
    <w:rsid w:val="1C6922AF"/>
    <w:rsid w:val="1C7A0F4E"/>
    <w:rsid w:val="1CF914BF"/>
    <w:rsid w:val="1D3474BE"/>
    <w:rsid w:val="1D64530A"/>
    <w:rsid w:val="1E2223FC"/>
    <w:rsid w:val="1E292B16"/>
    <w:rsid w:val="1E3252AC"/>
    <w:rsid w:val="1E56406A"/>
    <w:rsid w:val="1E8F073E"/>
    <w:rsid w:val="1EDF0A76"/>
    <w:rsid w:val="1F260691"/>
    <w:rsid w:val="1F3E55C8"/>
    <w:rsid w:val="1F78690B"/>
    <w:rsid w:val="1FAE738C"/>
    <w:rsid w:val="1FC16504"/>
    <w:rsid w:val="1FDC3F0E"/>
    <w:rsid w:val="2077630A"/>
    <w:rsid w:val="20901CE0"/>
    <w:rsid w:val="21140CED"/>
    <w:rsid w:val="211A595D"/>
    <w:rsid w:val="21BA0FE9"/>
    <w:rsid w:val="228A6ABE"/>
    <w:rsid w:val="22A44DAF"/>
    <w:rsid w:val="22C34341"/>
    <w:rsid w:val="22D24D60"/>
    <w:rsid w:val="22D622C7"/>
    <w:rsid w:val="22DB168B"/>
    <w:rsid w:val="23290CD7"/>
    <w:rsid w:val="235853C4"/>
    <w:rsid w:val="23A83C63"/>
    <w:rsid w:val="23DB4957"/>
    <w:rsid w:val="24066BDB"/>
    <w:rsid w:val="24373239"/>
    <w:rsid w:val="246D1ECE"/>
    <w:rsid w:val="247E2C16"/>
    <w:rsid w:val="248F097F"/>
    <w:rsid w:val="24C04FDC"/>
    <w:rsid w:val="24F63A5D"/>
    <w:rsid w:val="25097693"/>
    <w:rsid w:val="25184E18"/>
    <w:rsid w:val="2556149D"/>
    <w:rsid w:val="25A920F9"/>
    <w:rsid w:val="25D8363B"/>
    <w:rsid w:val="26154EB4"/>
    <w:rsid w:val="262D0755"/>
    <w:rsid w:val="268D5D4F"/>
    <w:rsid w:val="26991759"/>
    <w:rsid w:val="26CF1507"/>
    <w:rsid w:val="2712017D"/>
    <w:rsid w:val="272D447F"/>
    <w:rsid w:val="27392E24"/>
    <w:rsid w:val="275714EA"/>
    <w:rsid w:val="27D757D3"/>
    <w:rsid w:val="27EB05C2"/>
    <w:rsid w:val="280671AA"/>
    <w:rsid w:val="282D2989"/>
    <w:rsid w:val="289B1FE8"/>
    <w:rsid w:val="28D01566"/>
    <w:rsid w:val="28E8553A"/>
    <w:rsid w:val="291353A0"/>
    <w:rsid w:val="29231FDE"/>
    <w:rsid w:val="292D6E86"/>
    <w:rsid w:val="295D34AF"/>
    <w:rsid w:val="29622B06"/>
    <w:rsid w:val="296353E8"/>
    <w:rsid w:val="299936DC"/>
    <w:rsid w:val="29CA2459"/>
    <w:rsid w:val="29F36060"/>
    <w:rsid w:val="29F70EFE"/>
    <w:rsid w:val="2A720B27"/>
    <w:rsid w:val="2AC23677"/>
    <w:rsid w:val="2B0F45C8"/>
    <w:rsid w:val="2B260BDC"/>
    <w:rsid w:val="2B2D2CA0"/>
    <w:rsid w:val="2B3B360F"/>
    <w:rsid w:val="2BA725F2"/>
    <w:rsid w:val="2BAF7653"/>
    <w:rsid w:val="2BF35C97"/>
    <w:rsid w:val="2C730B86"/>
    <w:rsid w:val="2CFD1020"/>
    <w:rsid w:val="2D1A7254"/>
    <w:rsid w:val="2D4E798A"/>
    <w:rsid w:val="2D7925F4"/>
    <w:rsid w:val="2D7C1CBC"/>
    <w:rsid w:val="2D853E99"/>
    <w:rsid w:val="2DBA7A28"/>
    <w:rsid w:val="2DCD4387"/>
    <w:rsid w:val="2DE07A74"/>
    <w:rsid w:val="2DF83A39"/>
    <w:rsid w:val="2E47051C"/>
    <w:rsid w:val="2E497DF1"/>
    <w:rsid w:val="2E664D9E"/>
    <w:rsid w:val="2EB24CE0"/>
    <w:rsid w:val="2EBB2CB1"/>
    <w:rsid w:val="2EDE0B38"/>
    <w:rsid w:val="2F206A1F"/>
    <w:rsid w:val="2F2C0BAE"/>
    <w:rsid w:val="2F2F348A"/>
    <w:rsid w:val="2F3758E4"/>
    <w:rsid w:val="2F9477B0"/>
    <w:rsid w:val="2F963EF8"/>
    <w:rsid w:val="301628A9"/>
    <w:rsid w:val="301B3A0F"/>
    <w:rsid w:val="303A2E5F"/>
    <w:rsid w:val="30C94C38"/>
    <w:rsid w:val="310221B1"/>
    <w:rsid w:val="31200821"/>
    <w:rsid w:val="312C75C4"/>
    <w:rsid w:val="312E1520"/>
    <w:rsid w:val="314422DD"/>
    <w:rsid w:val="31697D37"/>
    <w:rsid w:val="31AA0C0A"/>
    <w:rsid w:val="31BD2FCF"/>
    <w:rsid w:val="31DF0165"/>
    <w:rsid w:val="31E57E30"/>
    <w:rsid w:val="31F2146B"/>
    <w:rsid w:val="32180206"/>
    <w:rsid w:val="325011E8"/>
    <w:rsid w:val="326055F9"/>
    <w:rsid w:val="32802058"/>
    <w:rsid w:val="328A6C2A"/>
    <w:rsid w:val="329F26D5"/>
    <w:rsid w:val="32DE21FE"/>
    <w:rsid w:val="32EB35B4"/>
    <w:rsid w:val="33222CB9"/>
    <w:rsid w:val="3353378D"/>
    <w:rsid w:val="33880D03"/>
    <w:rsid w:val="33D22636"/>
    <w:rsid w:val="33E3001E"/>
    <w:rsid w:val="340824FC"/>
    <w:rsid w:val="340C23C5"/>
    <w:rsid w:val="349831C4"/>
    <w:rsid w:val="35064C8D"/>
    <w:rsid w:val="35366BF5"/>
    <w:rsid w:val="353F360F"/>
    <w:rsid w:val="358C1A52"/>
    <w:rsid w:val="358F63C4"/>
    <w:rsid w:val="35931E3C"/>
    <w:rsid w:val="35B73417"/>
    <w:rsid w:val="35E623C9"/>
    <w:rsid w:val="363F7524"/>
    <w:rsid w:val="36407D2B"/>
    <w:rsid w:val="367D7A3A"/>
    <w:rsid w:val="36A04C6E"/>
    <w:rsid w:val="36A55DE0"/>
    <w:rsid w:val="36D10B7D"/>
    <w:rsid w:val="36F57279"/>
    <w:rsid w:val="371649C0"/>
    <w:rsid w:val="371813B0"/>
    <w:rsid w:val="37272C99"/>
    <w:rsid w:val="3787198A"/>
    <w:rsid w:val="37A54D91"/>
    <w:rsid w:val="37DB610F"/>
    <w:rsid w:val="37DE146E"/>
    <w:rsid w:val="384120F7"/>
    <w:rsid w:val="386B37E8"/>
    <w:rsid w:val="38782491"/>
    <w:rsid w:val="38B30119"/>
    <w:rsid w:val="38B8629F"/>
    <w:rsid w:val="38BD3FCF"/>
    <w:rsid w:val="38FC4B7C"/>
    <w:rsid w:val="390F1C37"/>
    <w:rsid w:val="393022D9"/>
    <w:rsid w:val="397D3044"/>
    <w:rsid w:val="39B0341A"/>
    <w:rsid w:val="39C43F44"/>
    <w:rsid w:val="3A306308"/>
    <w:rsid w:val="3A682102"/>
    <w:rsid w:val="3ADD023E"/>
    <w:rsid w:val="3B0A24EB"/>
    <w:rsid w:val="3B0E11B9"/>
    <w:rsid w:val="3B712735"/>
    <w:rsid w:val="3BA82BFD"/>
    <w:rsid w:val="3C791EFD"/>
    <w:rsid w:val="3C8203BB"/>
    <w:rsid w:val="3C9A0A83"/>
    <w:rsid w:val="3CA56E5C"/>
    <w:rsid w:val="3CB4251D"/>
    <w:rsid w:val="3D2F6822"/>
    <w:rsid w:val="3D390512"/>
    <w:rsid w:val="3D493F35"/>
    <w:rsid w:val="3D6F4035"/>
    <w:rsid w:val="3D9B618F"/>
    <w:rsid w:val="3DAC3EF8"/>
    <w:rsid w:val="3DDC0BED"/>
    <w:rsid w:val="3E221D9C"/>
    <w:rsid w:val="3E3D7F65"/>
    <w:rsid w:val="3E495BEB"/>
    <w:rsid w:val="3E4F6CB0"/>
    <w:rsid w:val="3E650AC7"/>
    <w:rsid w:val="3E6850E9"/>
    <w:rsid w:val="3E8417B1"/>
    <w:rsid w:val="3E860BED"/>
    <w:rsid w:val="3F481E53"/>
    <w:rsid w:val="3F4D1678"/>
    <w:rsid w:val="3F4D5963"/>
    <w:rsid w:val="3F7603DF"/>
    <w:rsid w:val="3FE730FF"/>
    <w:rsid w:val="3FEC256A"/>
    <w:rsid w:val="409F2538"/>
    <w:rsid w:val="40E52248"/>
    <w:rsid w:val="41110C42"/>
    <w:rsid w:val="41AF3FB7"/>
    <w:rsid w:val="41CA0DF1"/>
    <w:rsid w:val="41E73751"/>
    <w:rsid w:val="42255D7C"/>
    <w:rsid w:val="42405D96"/>
    <w:rsid w:val="427A1F06"/>
    <w:rsid w:val="4283791D"/>
    <w:rsid w:val="433125CD"/>
    <w:rsid w:val="433C007A"/>
    <w:rsid w:val="435B15C5"/>
    <w:rsid w:val="43C2293A"/>
    <w:rsid w:val="43CA332A"/>
    <w:rsid w:val="43E87689"/>
    <w:rsid w:val="440B6BE2"/>
    <w:rsid w:val="445B38A4"/>
    <w:rsid w:val="44BC28D1"/>
    <w:rsid w:val="44BF6C07"/>
    <w:rsid w:val="450B2EEB"/>
    <w:rsid w:val="45357D20"/>
    <w:rsid w:val="45AE3109"/>
    <w:rsid w:val="45B74BFB"/>
    <w:rsid w:val="45C45BA1"/>
    <w:rsid w:val="4629258A"/>
    <w:rsid w:val="463B050F"/>
    <w:rsid w:val="46A41C10"/>
    <w:rsid w:val="46A80A4B"/>
    <w:rsid w:val="47446D09"/>
    <w:rsid w:val="474A5F7A"/>
    <w:rsid w:val="47586573"/>
    <w:rsid w:val="483B143E"/>
    <w:rsid w:val="483E2E8C"/>
    <w:rsid w:val="48484E0B"/>
    <w:rsid w:val="48594C7C"/>
    <w:rsid w:val="48B3355A"/>
    <w:rsid w:val="48EF0574"/>
    <w:rsid w:val="49003905"/>
    <w:rsid w:val="490E3CB9"/>
    <w:rsid w:val="49926698"/>
    <w:rsid w:val="49B17A19"/>
    <w:rsid w:val="49D56702"/>
    <w:rsid w:val="4A17094B"/>
    <w:rsid w:val="4A176B9D"/>
    <w:rsid w:val="4A3C1AFC"/>
    <w:rsid w:val="4A3E412A"/>
    <w:rsid w:val="4A425D44"/>
    <w:rsid w:val="4A4A2ACF"/>
    <w:rsid w:val="4AB935C3"/>
    <w:rsid w:val="4AE536EB"/>
    <w:rsid w:val="4B133808"/>
    <w:rsid w:val="4B810772"/>
    <w:rsid w:val="4BE74CD7"/>
    <w:rsid w:val="4C001FDF"/>
    <w:rsid w:val="4C636ED9"/>
    <w:rsid w:val="4CD751A0"/>
    <w:rsid w:val="4D7C3730"/>
    <w:rsid w:val="4DD54DA5"/>
    <w:rsid w:val="4DEA4CF4"/>
    <w:rsid w:val="4DF416CF"/>
    <w:rsid w:val="4E013DEC"/>
    <w:rsid w:val="4E173AED"/>
    <w:rsid w:val="4E920EE8"/>
    <w:rsid w:val="4EB175C0"/>
    <w:rsid w:val="4FA15887"/>
    <w:rsid w:val="4FF2374A"/>
    <w:rsid w:val="50993895"/>
    <w:rsid w:val="50CC06E1"/>
    <w:rsid w:val="51120B54"/>
    <w:rsid w:val="51DA56D9"/>
    <w:rsid w:val="521479BD"/>
    <w:rsid w:val="52324DF2"/>
    <w:rsid w:val="523572D3"/>
    <w:rsid w:val="525E7A5F"/>
    <w:rsid w:val="52C27FEE"/>
    <w:rsid w:val="52C35064"/>
    <w:rsid w:val="52D25D57"/>
    <w:rsid w:val="52E52E06"/>
    <w:rsid w:val="534F73A8"/>
    <w:rsid w:val="53C102A5"/>
    <w:rsid w:val="53F040F3"/>
    <w:rsid w:val="54501629"/>
    <w:rsid w:val="549A0AF6"/>
    <w:rsid w:val="549E05E7"/>
    <w:rsid w:val="551A2274"/>
    <w:rsid w:val="552079AD"/>
    <w:rsid w:val="55865E7A"/>
    <w:rsid w:val="55AD03B6"/>
    <w:rsid w:val="565926F8"/>
    <w:rsid w:val="56947B58"/>
    <w:rsid w:val="569A4893"/>
    <w:rsid w:val="570F0CE3"/>
    <w:rsid w:val="572B4351"/>
    <w:rsid w:val="57640800"/>
    <w:rsid w:val="57797E38"/>
    <w:rsid w:val="578F54F0"/>
    <w:rsid w:val="58124259"/>
    <w:rsid w:val="58247055"/>
    <w:rsid w:val="58491124"/>
    <w:rsid w:val="5864315D"/>
    <w:rsid w:val="58695559"/>
    <w:rsid w:val="588F6E1D"/>
    <w:rsid w:val="589870FB"/>
    <w:rsid w:val="58AA7BC4"/>
    <w:rsid w:val="58B303D9"/>
    <w:rsid w:val="58FA06F3"/>
    <w:rsid w:val="593257A1"/>
    <w:rsid w:val="594828CF"/>
    <w:rsid w:val="59716137"/>
    <w:rsid w:val="597C6A1D"/>
    <w:rsid w:val="599A323A"/>
    <w:rsid w:val="59FD5D36"/>
    <w:rsid w:val="5A0507C0"/>
    <w:rsid w:val="5A106D9C"/>
    <w:rsid w:val="5A1153B7"/>
    <w:rsid w:val="5A3572F7"/>
    <w:rsid w:val="5A5055AA"/>
    <w:rsid w:val="5A643739"/>
    <w:rsid w:val="5A645887"/>
    <w:rsid w:val="5A9D5284"/>
    <w:rsid w:val="5AC266B1"/>
    <w:rsid w:val="5AEA3C95"/>
    <w:rsid w:val="5B860547"/>
    <w:rsid w:val="5B9C6F02"/>
    <w:rsid w:val="5BA31F6D"/>
    <w:rsid w:val="5BAA2CB6"/>
    <w:rsid w:val="5BD14DFE"/>
    <w:rsid w:val="5C60006A"/>
    <w:rsid w:val="5CBC2E8A"/>
    <w:rsid w:val="5CD86660"/>
    <w:rsid w:val="5CF24B72"/>
    <w:rsid w:val="5D984E39"/>
    <w:rsid w:val="5E111E29"/>
    <w:rsid w:val="5E176D14"/>
    <w:rsid w:val="5E256920"/>
    <w:rsid w:val="5E5C0E03"/>
    <w:rsid w:val="5E951201"/>
    <w:rsid w:val="5ECC3F6D"/>
    <w:rsid w:val="5EF977B3"/>
    <w:rsid w:val="5EFD3D22"/>
    <w:rsid w:val="5F7E172D"/>
    <w:rsid w:val="5F8B1CA3"/>
    <w:rsid w:val="5F8B407B"/>
    <w:rsid w:val="601E6FA6"/>
    <w:rsid w:val="60465003"/>
    <w:rsid w:val="60BA0F08"/>
    <w:rsid w:val="60C63C94"/>
    <w:rsid w:val="6142054C"/>
    <w:rsid w:val="617565F6"/>
    <w:rsid w:val="617A7C83"/>
    <w:rsid w:val="628F5D29"/>
    <w:rsid w:val="62A414BE"/>
    <w:rsid w:val="62B80AC5"/>
    <w:rsid w:val="634632A4"/>
    <w:rsid w:val="6361115D"/>
    <w:rsid w:val="64274122"/>
    <w:rsid w:val="64532812"/>
    <w:rsid w:val="64780290"/>
    <w:rsid w:val="64B17EC2"/>
    <w:rsid w:val="651641C9"/>
    <w:rsid w:val="65314B5F"/>
    <w:rsid w:val="65366619"/>
    <w:rsid w:val="654A3ABB"/>
    <w:rsid w:val="65613696"/>
    <w:rsid w:val="6589396E"/>
    <w:rsid w:val="666C01DA"/>
    <w:rsid w:val="667C005C"/>
    <w:rsid w:val="66C541BB"/>
    <w:rsid w:val="66ED0F5A"/>
    <w:rsid w:val="67177D85"/>
    <w:rsid w:val="67191D4F"/>
    <w:rsid w:val="671B39FF"/>
    <w:rsid w:val="671C049D"/>
    <w:rsid w:val="677862CF"/>
    <w:rsid w:val="678E44EB"/>
    <w:rsid w:val="67976DF7"/>
    <w:rsid w:val="68324E76"/>
    <w:rsid w:val="6841330B"/>
    <w:rsid w:val="68560FB0"/>
    <w:rsid w:val="6875755D"/>
    <w:rsid w:val="68B15238"/>
    <w:rsid w:val="68DD5B96"/>
    <w:rsid w:val="68E635A2"/>
    <w:rsid w:val="69020CEC"/>
    <w:rsid w:val="69126A56"/>
    <w:rsid w:val="693D7F76"/>
    <w:rsid w:val="694120F5"/>
    <w:rsid w:val="69643755"/>
    <w:rsid w:val="69981651"/>
    <w:rsid w:val="69B30FB5"/>
    <w:rsid w:val="69DA57C5"/>
    <w:rsid w:val="69E502D2"/>
    <w:rsid w:val="6A2716C9"/>
    <w:rsid w:val="6A610B11"/>
    <w:rsid w:val="6A6A173C"/>
    <w:rsid w:val="6AAB0F10"/>
    <w:rsid w:val="6ACB38E5"/>
    <w:rsid w:val="6AD246EE"/>
    <w:rsid w:val="6AE84A72"/>
    <w:rsid w:val="6B1B3F84"/>
    <w:rsid w:val="6B2F7D93"/>
    <w:rsid w:val="6B4E7EEE"/>
    <w:rsid w:val="6C00421D"/>
    <w:rsid w:val="6C270A6A"/>
    <w:rsid w:val="6C703149"/>
    <w:rsid w:val="6C846764"/>
    <w:rsid w:val="6CA200F0"/>
    <w:rsid w:val="6CFE3B02"/>
    <w:rsid w:val="6D88670D"/>
    <w:rsid w:val="6DE309C1"/>
    <w:rsid w:val="6E761835"/>
    <w:rsid w:val="6EA405A9"/>
    <w:rsid w:val="6EC16F54"/>
    <w:rsid w:val="6ED52B8A"/>
    <w:rsid w:val="6F265009"/>
    <w:rsid w:val="6F313FA1"/>
    <w:rsid w:val="6F834209"/>
    <w:rsid w:val="6F8D4E4E"/>
    <w:rsid w:val="6F9E3748"/>
    <w:rsid w:val="700A0487"/>
    <w:rsid w:val="704F1B3A"/>
    <w:rsid w:val="707D05B9"/>
    <w:rsid w:val="70A11939"/>
    <w:rsid w:val="70A839C6"/>
    <w:rsid w:val="7116481E"/>
    <w:rsid w:val="71347EB1"/>
    <w:rsid w:val="71421785"/>
    <w:rsid w:val="7158574F"/>
    <w:rsid w:val="7180259E"/>
    <w:rsid w:val="71FE6F26"/>
    <w:rsid w:val="721253F9"/>
    <w:rsid w:val="722578E9"/>
    <w:rsid w:val="72676064"/>
    <w:rsid w:val="728409C4"/>
    <w:rsid w:val="72B54101"/>
    <w:rsid w:val="72CC5EC7"/>
    <w:rsid w:val="7313528F"/>
    <w:rsid w:val="7314591F"/>
    <w:rsid w:val="733C509D"/>
    <w:rsid w:val="7365051D"/>
    <w:rsid w:val="73972979"/>
    <w:rsid w:val="739A6724"/>
    <w:rsid w:val="74237D69"/>
    <w:rsid w:val="74281823"/>
    <w:rsid w:val="74A626EA"/>
    <w:rsid w:val="74CB0B2C"/>
    <w:rsid w:val="756747A2"/>
    <w:rsid w:val="75734190"/>
    <w:rsid w:val="75742F72"/>
    <w:rsid w:val="75A7382D"/>
    <w:rsid w:val="75B96BD7"/>
    <w:rsid w:val="7625426C"/>
    <w:rsid w:val="762C373B"/>
    <w:rsid w:val="764D1A81"/>
    <w:rsid w:val="76553592"/>
    <w:rsid w:val="76C53359"/>
    <w:rsid w:val="7725204A"/>
    <w:rsid w:val="773F3EF6"/>
    <w:rsid w:val="77843214"/>
    <w:rsid w:val="77B5517C"/>
    <w:rsid w:val="77C47A53"/>
    <w:rsid w:val="77D74F78"/>
    <w:rsid w:val="77EA5801"/>
    <w:rsid w:val="782C085B"/>
    <w:rsid w:val="785962C1"/>
    <w:rsid w:val="786B1CDE"/>
    <w:rsid w:val="78832BF4"/>
    <w:rsid w:val="78B00F4C"/>
    <w:rsid w:val="791F1447"/>
    <w:rsid w:val="796706F8"/>
    <w:rsid w:val="7A3507F6"/>
    <w:rsid w:val="7A3F36BC"/>
    <w:rsid w:val="7A4647B1"/>
    <w:rsid w:val="7A4822D7"/>
    <w:rsid w:val="7A925C48"/>
    <w:rsid w:val="7A9D044F"/>
    <w:rsid w:val="7ABA6A60"/>
    <w:rsid w:val="7B1440DE"/>
    <w:rsid w:val="7B3343CE"/>
    <w:rsid w:val="7B446F42"/>
    <w:rsid w:val="7B4968BF"/>
    <w:rsid w:val="7B5B603A"/>
    <w:rsid w:val="7BA93985"/>
    <w:rsid w:val="7BB57E40"/>
    <w:rsid w:val="7BDD225D"/>
    <w:rsid w:val="7C914A80"/>
    <w:rsid w:val="7CB671B0"/>
    <w:rsid w:val="7CDC13FD"/>
    <w:rsid w:val="7D0A3391"/>
    <w:rsid w:val="7DCC0D4A"/>
    <w:rsid w:val="7DE22A43"/>
    <w:rsid w:val="7E05426C"/>
    <w:rsid w:val="7E3A287F"/>
    <w:rsid w:val="7E696CC0"/>
    <w:rsid w:val="7EF127D4"/>
    <w:rsid w:val="7EF85C16"/>
    <w:rsid w:val="7F0240C9"/>
    <w:rsid w:val="7F4C46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qFormat="1"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883" w:firstLineChars="200"/>
      <w:jc w:val="both"/>
    </w:pPr>
    <w:rPr>
      <w:rFonts w:ascii="Times New Roman" w:hAnsi="Times New Roman" w:eastAsia="宋体" w:cs="Times New Roman"/>
      <w:kern w:val="2"/>
      <w:sz w:val="28"/>
      <w:szCs w:val="24"/>
      <w:lang w:val="en-US" w:eastAsia="zh-CN" w:bidi="ar-SA"/>
    </w:rPr>
  </w:style>
  <w:style w:type="paragraph" w:styleId="2">
    <w:name w:val="heading 1"/>
    <w:basedOn w:val="1"/>
    <w:next w:val="1"/>
    <w:link w:val="28"/>
    <w:autoRedefine/>
    <w:qFormat/>
    <w:uiPriority w:val="0"/>
    <w:pPr>
      <w:keepNext/>
      <w:keepLines/>
      <w:spacing w:beforeLines="0" w:beforeAutospacing="0" w:afterLines="0" w:afterAutospacing="0" w:line="360" w:lineRule="auto"/>
      <w:ind w:left="0" w:leftChars="0" w:firstLine="0" w:firstLineChars="0"/>
      <w:jc w:val="center"/>
      <w:outlineLvl w:val="0"/>
    </w:pPr>
    <w:rPr>
      <w:rFonts w:ascii="Times New Roman" w:hAnsi="Times New Roman" w:eastAsia="黑体"/>
      <w:b/>
      <w:kern w:val="44"/>
      <w:sz w:val="32"/>
    </w:rPr>
  </w:style>
  <w:style w:type="paragraph" w:styleId="3">
    <w:name w:val="heading 2"/>
    <w:basedOn w:val="1"/>
    <w:next w:val="1"/>
    <w:unhideWhenUsed/>
    <w:qFormat/>
    <w:uiPriority w:val="0"/>
    <w:pPr>
      <w:keepNext/>
      <w:keepLines/>
      <w:spacing w:beforeLines="0" w:beforeAutospacing="0" w:afterLines="0" w:afterAutospacing="0" w:line="360" w:lineRule="auto"/>
      <w:ind w:left="280" w:leftChars="100" w:firstLine="0" w:firstLineChars="0"/>
      <w:outlineLvl w:val="1"/>
    </w:pPr>
    <w:rPr>
      <w:rFonts w:eastAsia="黑体"/>
      <w:b/>
      <w:sz w:val="30"/>
    </w:rPr>
  </w:style>
  <w:style w:type="paragraph" w:styleId="4">
    <w:name w:val="heading 3"/>
    <w:basedOn w:val="1"/>
    <w:next w:val="1"/>
    <w:link w:val="37"/>
    <w:autoRedefine/>
    <w:unhideWhenUsed/>
    <w:qFormat/>
    <w:uiPriority w:val="0"/>
    <w:pPr>
      <w:keepNext/>
      <w:keepLines/>
      <w:spacing w:beforeLines="0" w:beforeAutospacing="0" w:afterLines="0" w:afterAutospacing="0" w:line="360" w:lineRule="auto"/>
      <w:ind w:left="560" w:leftChars="200" w:firstLine="0" w:firstLineChars="0"/>
      <w:outlineLvl w:val="2"/>
    </w:pPr>
    <w:rPr>
      <w:rFonts w:eastAsia="黑体"/>
      <w:b/>
    </w:rPr>
  </w:style>
  <w:style w:type="paragraph" w:styleId="5">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21">
    <w:name w:val="Default Paragraph Font"/>
    <w:autoRedefine/>
    <w:semiHidden/>
    <w:qFormat/>
    <w:uiPriority w:val="0"/>
  </w:style>
  <w:style w:type="table" w:default="1" w:styleId="18">
    <w:name w:val="Normal Table"/>
    <w:autoRedefine/>
    <w:semiHidden/>
    <w:qFormat/>
    <w:uiPriority w:val="0"/>
    <w:tblPr>
      <w:tblCellMar>
        <w:top w:w="0" w:type="dxa"/>
        <w:left w:w="108" w:type="dxa"/>
        <w:bottom w:w="0" w:type="dxa"/>
        <w:right w:w="108" w:type="dxa"/>
      </w:tblCellMar>
    </w:tblPr>
  </w:style>
  <w:style w:type="paragraph" w:styleId="6">
    <w:name w:val="table of authorities"/>
    <w:basedOn w:val="1"/>
    <w:next w:val="1"/>
    <w:autoRedefine/>
    <w:qFormat/>
    <w:uiPriority w:val="0"/>
    <w:pPr>
      <w:ind w:left="420" w:leftChars="200"/>
    </w:pPr>
  </w:style>
  <w:style w:type="paragraph" w:styleId="7">
    <w:name w:val="toa heading"/>
    <w:next w:val="1"/>
    <w:qFormat/>
    <w:uiPriority w:val="0"/>
    <w:pPr>
      <w:widowControl w:val="0"/>
      <w:spacing w:before="120"/>
      <w:jc w:val="both"/>
    </w:pPr>
    <w:rPr>
      <w:rFonts w:ascii="Cambria" w:hAnsi="Cambria" w:eastAsia="宋体" w:cs="Times New Roman"/>
      <w:kern w:val="2"/>
      <w:sz w:val="24"/>
      <w:szCs w:val="24"/>
      <w:lang w:val="en-US" w:eastAsia="zh-CN" w:bidi="ar-SA"/>
    </w:rPr>
  </w:style>
  <w:style w:type="paragraph" w:styleId="8">
    <w:name w:val="annotation text"/>
    <w:basedOn w:val="1"/>
    <w:autoRedefine/>
    <w:qFormat/>
    <w:uiPriority w:val="0"/>
    <w:pPr>
      <w:jc w:val="left"/>
    </w:pPr>
  </w:style>
  <w:style w:type="paragraph" w:styleId="9">
    <w:name w:val="Body Text"/>
    <w:basedOn w:val="1"/>
    <w:next w:val="1"/>
    <w:link w:val="31"/>
    <w:autoRedefine/>
    <w:qFormat/>
    <w:uiPriority w:val="0"/>
    <w:pPr>
      <w:widowControl w:val="0"/>
      <w:spacing w:after="120" w:line="360" w:lineRule="auto"/>
      <w:jc w:val="both"/>
    </w:pPr>
    <w:rPr>
      <w:rFonts w:ascii="Times New Roman" w:hAnsi="Times New Roman" w:eastAsia="宋体" w:cs="Times New Roman"/>
      <w:kern w:val="2"/>
      <w:sz w:val="28"/>
      <w:szCs w:val="24"/>
      <w:lang w:val="en-US" w:eastAsia="zh-CN" w:bidi="ar-SA"/>
    </w:rPr>
  </w:style>
  <w:style w:type="paragraph" w:styleId="10">
    <w:name w:val="toc 3"/>
    <w:basedOn w:val="1"/>
    <w:next w:val="1"/>
    <w:autoRedefine/>
    <w:qFormat/>
    <w:uiPriority w:val="0"/>
    <w:pPr>
      <w:spacing w:line="240" w:lineRule="auto"/>
      <w:ind w:left="840" w:leftChars="400" w:firstLine="0" w:firstLineChars="0"/>
    </w:pPr>
    <w:rPr>
      <w:rFonts w:ascii="Times New Roman" w:hAnsi="Times New Roman" w:eastAsia="宋体"/>
      <w:sz w:val="21"/>
    </w:rPr>
  </w:style>
  <w:style w:type="paragraph" w:styleId="11">
    <w:name w:val="footer"/>
    <w:basedOn w:val="1"/>
    <w:autoRedefine/>
    <w:qFormat/>
    <w:uiPriority w:val="0"/>
    <w:pPr>
      <w:tabs>
        <w:tab w:val="center" w:pos="4153"/>
        <w:tab w:val="right" w:pos="8306"/>
      </w:tabs>
      <w:snapToGrid w:val="0"/>
      <w:spacing w:line="240" w:lineRule="auto"/>
      <w:jc w:val="left"/>
    </w:pPr>
    <w:rPr>
      <w:sz w:val="18"/>
      <w:szCs w:val="18"/>
    </w:rPr>
  </w:style>
  <w:style w:type="paragraph" w:styleId="12">
    <w:name w:val="header"/>
    <w:basedOn w:val="1"/>
    <w:autoRedefine/>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3">
    <w:name w:val="toc 1"/>
    <w:basedOn w:val="1"/>
    <w:next w:val="1"/>
    <w:autoRedefine/>
    <w:qFormat/>
    <w:uiPriority w:val="0"/>
    <w:pPr>
      <w:tabs>
        <w:tab w:val="right" w:leader="dot" w:pos="9072"/>
      </w:tabs>
      <w:spacing w:line="240" w:lineRule="auto"/>
      <w:ind w:firstLine="0" w:firstLineChars="0"/>
    </w:pPr>
    <w:rPr>
      <w:rFonts w:ascii="Times New Roman" w:hAnsi="Times New Roman" w:eastAsia="宋体"/>
      <w:sz w:val="28"/>
      <w:szCs w:val="21"/>
    </w:rPr>
  </w:style>
  <w:style w:type="paragraph" w:styleId="14">
    <w:name w:val="toc 2"/>
    <w:basedOn w:val="1"/>
    <w:next w:val="1"/>
    <w:autoRedefine/>
    <w:qFormat/>
    <w:uiPriority w:val="0"/>
    <w:pPr>
      <w:spacing w:line="240" w:lineRule="auto"/>
      <w:ind w:left="420" w:leftChars="200" w:firstLine="0" w:firstLineChars="0"/>
    </w:pPr>
    <w:rPr>
      <w:rFonts w:ascii="Times New Roman" w:hAnsi="Times New Roman" w:eastAsia="宋体"/>
      <w:sz w:val="24"/>
    </w:rPr>
  </w:style>
  <w:style w:type="paragraph" w:styleId="15">
    <w:name w:val="Body Text 2"/>
    <w:autoRedefine/>
    <w:qFormat/>
    <w:uiPriority w:val="0"/>
    <w:pPr>
      <w:widowControl w:val="0"/>
      <w:spacing w:after="120" w:line="480" w:lineRule="auto"/>
      <w:jc w:val="both"/>
    </w:pPr>
    <w:rPr>
      <w:rFonts w:ascii="Times New Roman" w:hAnsi="Times New Roman" w:eastAsia="宋体" w:cs="Times New Roman"/>
      <w:kern w:val="2"/>
      <w:sz w:val="28"/>
      <w:szCs w:val="24"/>
      <w:lang w:val="en-US" w:eastAsia="zh-CN" w:bidi="ar-SA"/>
    </w:rPr>
  </w:style>
  <w:style w:type="paragraph" w:styleId="16">
    <w:name w:val="Normal (Web)"/>
    <w:autoRedefine/>
    <w:qFormat/>
    <w:uiPriority w:val="99"/>
    <w:pPr>
      <w:widowControl/>
      <w:spacing w:before="100" w:beforeAutospacing="1" w:after="100" w:afterAutospacing="1"/>
      <w:jc w:val="left"/>
    </w:pPr>
    <w:rPr>
      <w:rFonts w:ascii="宋体" w:hAnsi="宋体" w:eastAsia="宋体" w:cs="宋体"/>
      <w:kern w:val="0"/>
      <w:sz w:val="24"/>
      <w:szCs w:val="24"/>
      <w:lang w:val="en-US" w:eastAsia="zh-CN" w:bidi="ar-SA"/>
    </w:rPr>
  </w:style>
  <w:style w:type="paragraph" w:styleId="17">
    <w:name w:val="Body Text First Indent 2"/>
    <w:basedOn w:val="1"/>
    <w:next w:val="1"/>
    <w:qFormat/>
    <w:uiPriority w:val="0"/>
    <w:pPr>
      <w:widowControl w:val="0"/>
      <w:ind w:firstLine="420" w:firstLineChars="200"/>
      <w:jc w:val="both"/>
    </w:pPr>
    <w:rPr>
      <w:rFonts w:ascii="Times New Roman" w:hAnsi="Times New Roman" w:eastAsia="宋体" w:cs="Times New Roman"/>
      <w:kern w:val="2"/>
      <w:sz w:val="21"/>
      <w:szCs w:val="24"/>
      <w:lang w:val="en-US" w:eastAsia="zh-CN" w:bidi="ar-SA"/>
    </w:rPr>
  </w:style>
  <w:style w:type="table" w:styleId="19">
    <w:name w:val="Table Grid"/>
    <w:basedOn w:val="1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0">
    <w:name w:val="Table Theme"/>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autoRedefine/>
    <w:qFormat/>
    <w:uiPriority w:val="0"/>
  </w:style>
  <w:style w:type="paragraph" w:customStyle="1" w:styleId="23">
    <w:name w:val="样式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
    <w:name w:val="目录1"/>
    <w:basedOn w:val="6"/>
    <w:autoRedefine/>
    <w:qFormat/>
    <w:uiPriority w:val="0"/>
    <w:pPr>
      <w:spacing w:line="240" w:lineRule="auto"/>
      <w:ind w:left="0" w:leftChars="0" w:firstLine="0" w:firstLineChars="0"/>
    </w:pPr>
  </w:style>
  <w:style w:type="paragraph" w:customStyle="1" w:styleId="25">
    <w:name w:val="目录2"/>
    <w:basedOn w:val="6"/>
    <w:autoRedefine/>
    <w:qFormat/>
    <w:uiPriority w:val="0"/>
    <w:pPr>
      <w:spacing w:line="240" w:lineRule="auto"/>
      <w:ind w:firstLine="0" w:firstLineChars="0"/>
    </w:pPr>
    <w:rPr>
      <w:sz w:val="24"/>
    </w:rPr>
  </w:style>
  <w:style w:type="paragraph" w:customStyle="1" w:styleId="26">
    <w:name w:val="目录3"/>
    <w:basedOn w:val="6"/>
    <w:autoRedefine/>
    <w:qFormat/>
    <w:uiPriority w:val="0"/>
    <w:pPr>
      <w:spacing w:line="240" w:lineRule="auto"/>
      <w:ind w:left="1120" w:leftChars="400" w:firstLine="0" w:firstLineChars="0"/>
    </w:pPr>
    <w:rPr>
      <w:sz w:val="21"/>
    </w:rPr>
  </w:style>
  <w:style w:type="paragraph" w:customStyle="1" w:styleId="27">
    <w:name w:val="样式 小四 首行缩进:  0.85 厘米 行距: 固定值 22 磅"/>
    <w:autoRedefine/>
    <w:qFormat/>
    <w:uiPriority w:val="0"/>
    <w:pPr>
      <w:widowControl/>
      <w:spacing w:line="440" w:lineRule="exact"/>
      <w:ind w:firstLine="480" w:firstLineChars="200"/>
      <w:jc w:val="both"/>
    </w:pPr>
    <w:rPr>
      <w:rFonts w:ascii="新宋体" w:hAnsi="新宋体" w:eastAsia="新宋体" w:cs="新宋体"/>
      <w:kern w:val="0"/>
      <w:sz w:val="24"/>
      <w:szCs w:val="20"/>
      <w:lang w:val="en-US" w:eastAsia="en-US" w:bidi="en-US"/>
    </w:rPr>
  </w:style>
  <w:style w:type="character" w:customStyle="1" w:styleId="28">
    <w:name w:val="标题 1 Char1"/>
    <w:link w:val="2"/>
    <w:autoRedefine/>
    <w:qFormat/>
    <w:uiPriority w:val="0"/>
    <w:rPr>
      <w:rFonts w:ascii="Times New Roman" w:hAnsi="Times New Roman" w:eastAsia="黑体"/>
      <w:b/>
      <w:kern w:val="44"/>
      <w:sz w:val="32"/>
    </w:rPr>
  </w:style>
  <w:style w:type="paragraph" w:customStyle="1" w:styleId="29">
    <w:name w:val="Char1"/>
    <w:basedOn w:val="1"/>
    <w:autoRedefine/>
    <w:qFormat/>
    <w:uiPriority w:val="0"/>
    <w:pPr>
      <w:autoSpaceDE w:val="0"/>
      <w:autoSpaceDN w:val="0"/>
      <w:adjustRightInd w:val="0"/>
      <w:snapToGrid w:val="0"/>
      <w:spacing w:before="50" w:after="50"/>
      <w:ind w:firstLine="560" w:firstLineChars="200"/>
    </w:pPr>
    <w:rPr>
      <w:sz w:val="21"/>
      <w:szCs w:val="20"/>
    </w:rPr>
  </w:style>
  <w:style w:type="character" w:customStyle="1" w:styleId="30">
    <w:name w:val="正文文本 + 10.5 pt6"/>
    <w:autoRedefine/>
    <w:qFormat/>
    <w:uiPriority w:val="0"/>
    <w:rPr>
      <w:rFonts w:ascii="宋体" w:hAnsi="宋体" w:eastAsia="宋体" w:cs="宋体"/>
      <w:kern w:val="2"/>
      <w:sz w:val="21"/>
      <w:szCs w:val="21"/>
      <w:u w:val="none"/>
      <w:lang w:val="en-US" w:eastAsia="zh-CN" w:bidi="ar-SA"/>
    </w:rPr>
  </w:style>
  <w:style w:type="character" w:customStyle="1" w:styleId="31">
    <w:name w:val="正文文本_"/>
    <w:link w:val="9"/>
    <w:autoRedefine/>
    <w:qFormat/>
    <w:uiPriority w:val="0"/>
    <w:rPr>
      <w:kern w:val="2"/>
      <w:sz w:val="28"/>
      <w:szCs w:val="24"/>
      <w:lang w:val="en-US" w:eastAsia="zh-CN" w:bidi="ar-SA"/>
    </w:rPr>
  </w:style>
  <w:style w:type="character" w:customStyle="1" w:styleId="32">
    <w:name w:val="正文文本 + Batang19"/>
    <w:autoRedefine/>
    <w:qFormat/>
    <w:uiPriority w:val="0"/>
    <w:rPr>
      <w:rFonts w:ascii="Batang" w:hAnsi="宋体" w:eastAsia="Batang" w:cs="Batang"/>
      <w:kern w:val="2"/>
      <w:sz w:val="19"/>
      <w:szCs w:val="19"/>
      <w:u w:val="none"/>
      <w:lang w:val="en-US" w:eastAsia="en-US" w:bidi="ar-SA"/>
    </w:rPr>
  </w:style>
  <w:style w:type="character" w:customStyle="1" w:styleId="33">
    <w:name w:val="正文文本 + MS Gothic"/>
    <w:autoRedefine/>
    <w:qFormat/>
    <w:uiPriority w:val="0"/>
    <w:rPr>
      <w:rFonts w:ascii="MS Gothic" w:hAnsi="宋体" w:eastAsia="MS Gothic" w:cs="MS Gothic"/>
      <w:spacing w:val="-20"/>
      <w:kern w:val="2"/>
      <w:sz w:val="8"/>
      <w:szCs w:val="8"/>
      <w:u w:val="none"/>
      <w:lang w:val="en-US" w:eastAsia="zh-CN" w:bidi="ar-SA"/>
    </w:rPr>
  </w:style>
  <w:style w:type="character" w:customStyle="1" w:styleId="34">
    <w:name w:val="正文文本 + Batang18"/>
    <w:autoRedefine/>
    <w:qFormat/>
    <w:uiPriority w:val="0"/>
    <w:rPr>
      <w:rFonts w:ascii="Batang" w:hAnsi="宋体" w:eastAsia="Batang" w:cs="Batang"/>
      <w:kern w:val="2"/>
      <w:sz w:val="19"/>
      <w:szCs w:val="19"/>
      <w:u w:val="none"/>
      <w:lang w:val="en-US" w:eastAsia="zh-CN" w:bidi="ar-SA"/>
    </w:rPr>
  </w:style>
  <w:style w:type="table" w:customStyle="1" w:styleId="35">
    <w:name w:val="Table Normal"/>
    <w:autoRedefine/>
    <w:semiHidden/>
    <w:unhideWhenUsed/>
    <w:qFormat/>
    <w:uiPriority w:val="0"/>
    <w:tblPr>
      <w:tblCellMar>
        <w:top w:w="0" w:type="dxa"/>
        <w:left w:w="0" w:type="dxa"/>
        <w:bottom w:w="0" w:type="dxa"/>
        <w:right w:w="0" w:type="dxa"/>
      </w:tblCellMar>
    </w:tblPr>
  </w:style>
  <w:style w:type="paragraph" w:customStyle="1" w:styleId="36">
    <w:name w:val="Table Text"/>
    <w:basedOn w:val="1"/>
    <w:autoRedefine/>
    <w:semiHidden/>
    <w:qFormat/>
    <w:uiPriority w:val="0"/>
    <w:rPr>
      <w:rFonts w:ascii="微软雅黑" w:hAnsi="微软雅黑" w:eastAsia="微软雅黑" w:cs="微软雅黑"/>
      <w:sz w:val="28"/>
      <w:szCs w:val="28"/>
      <w:lang w:val="en-US" w:eastAsia="en-US" w:bidi="ar-SA"/>
    </w:rPr>
  </w:style>
  <w:style w:type="character" w:customStyle="1" w:styleId="37">
    <w:name w:val="标题 3 Char"/>
    <w:link w:val="4"/>
    <w:qFormat/>
    <w:uiPriority w:val="0"/>
    <w:rPr>
      <w:rFonts w:eastAsia="黑体"/>
      <w:b/>
    </w:rPr>
  </w:style>
  <w:style w:type="paragraph" w:customStyle="1" w:styleId="38">
    <w:name w:val="样式 样式 样式 正文文本缩进 + 首行缩进:  2 字符 + 图案: 15% (自动设置 前景 白色 背景) + 图案: 清除"/>
    <w:qFormat/>
    <w:uiPriority w:val="0"/>
    <w:pPr>
      <w:widowControl/>
      <w:tabs>
        <w:tab w:val="left" w:pos="1155"/>
        <w:tab w:val="center" w:pos="4153"/>
      </w:tabs>
      <w:spacing w:line="360" w:lineRule="auto"/>
      <w:ind w:firstLine="560" w:firstLineChars="200"/>
      <w:jc w:val="both"/>
    </w:pPr>
    <w:rPr>
      <w:rFonts w:ascii="Times New Roman" w:hAnsi="Times New Roman" w:eastAsia="宋体" w:cs="宋体"/>
      <w:color w:val="000000"/>
      <w:kern w:val="0"/>
      <w:sz w:val="28"/>
      <w:szCs w:val="28"/>
      <w:lang w:val="en-US" w:eastAsia="zh-CN" w:bidi="ar-SA"/>
    </w:rPr>
  </w:style>
  <w:style w:type="paragraph" w:customStyle="1" w:styleId="39">
    <w:name w:val="样式 标题 2"/>
    <w:basedOn w:val="3"/>
    <w:qFormat/>
    <w:uiPriority w:val="0"/>
    <w:pPr>
      <w:spacing w:before="50" w:after="50"/>
      <w:jc w:val="both"/>
    </w:pPr>
    <w:rPr>
      <w:szCs w:val="28"/>
    </w:rPr>
  </w:style>
  <w:style w:type="paragraph" w:customStyle="1" w:styleId="40">
    <w:name w:val="Table Paragraph"/>
    <w:basedOn w:val="1"/>
    <w:qFormat/>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1" Type="http://schemas.openxmlformats.org/officeDocument/2006/relationships/fontTable" Target="fontTable.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10.jpeg"/><Relationship Id="rId17" Type="http://schemas.openxmlformats.org/officeDocument/2006/relationships/image" Target="media/image9.jpeg"/><Relationship Id="rId16" Type="http://schemas.openxmlformats.org/officeDocument/2006/relationships/image" Target="media/image8.png"/><Relationship Id="rId15" Type="http://schemas.openxmlformats.org/officeDocument/2006/relationships/image" Target="media/image7.png"/><Relationship Id="rId14" Type="http://schemas.openxmlformats.org/officeDocument/2006/relationships/image" Target="media/image6.png"/><Relationship Id="rId13" Type="http://schemas.openxmlformats.org/officeDocument/2006/relationships/image" Target="media/image5.png"/><Relationship Id="rId12" Type="http://schemas.openxmlformats.org/officeDocument/2006/relationships/image" Target="media/image4.png"/><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99</Pages>
  <Words>10015</Words>
  <Characters>12475</Characters>
  <Lines>0</Lines>
  <Paragraphs>0</Paragraphs>
  <TotalTime>54</TotalTime>
  <ScaleCrop>false</ScaleCrop>
  <LinksUpToDate>false</LinksUpToDate>
  <CharactersWithSpaces>13638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2023-03-13T03:26:00Z</dcterms:created>
  <dc:creator>Administrator</dc:creator>
  <cp:lastModifiedBy>长青藤</cp:lastModifiedBy>
  <cp:lastPrinted>2025-05-30T07:13:00Z</cp:lastPrinted>
  <dcterms:modified xsi:type="dcterms:W3CDTF">2025-08-18T00:48:55Z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B1C61FD6A7CB416B823A93B2F1477084</vt:lpwstr>
  </property>
  <property fmtid="{D5CDD505-2E9C-101B-9397-08002B2CF9AE}" pid="4" name="KSOTemplateDocerSaveRecord">
    <vt:lpwstr>eyJoZGlkIjoiZTUyYWUxNGNmMmUyZTIxY2FmM2YyMWFiMjM3Y2U3MzAiLCJ1c2VySWQiOiI2OTk0MDQxMDkifQ==</vt:lpwstr>
  </property>
</Properties>
</file>